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87" w:rsidRDefault="00382687" w:rsidP="0033083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1.5pt">
            <v:imagedata r:id="rId7" o:title=""/>
          </v:shape>
        </w:pict>
      </w:r>
    </w:p>
    <w:p w:rsidR="00382687" w:rsidRPr="00ED06D8" w:rsidRDefault="00382687" w:rsidP="00196BEC">
      <w:pPr>
        <w:rPr>
          <w:sz w:val="16"/>
          <w:szCs w:val="16"/>
        </w:rPr>
      </w:pPr>
    </w:p>
    <w:p w:rsidR="00382687" w:rsidRPr="0064155D" w:rsidRDefault="00382687" w:rsidP="00196BEC">
      <w:pPr>
        <w:pStyle w:val="Heading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 xml:space="preserve">МИНИСТЕРСТВО ИМУЩЕСТВЕННЫХ И ЗЕМЕЛЬНЫХ ОТНОШЕНИЙ </w:t>
      </w:r>
    </w:p>
    <w:p w:rsidR="00382687" w:rsidRPr="0064155D" w:rsidRDefault="00382687" w:rsidP="00196BEC">
      <w:pPr>
        <w:pStyle w:val="Heading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>КАРАЧАЕВО-ЧЕРКЕССКОЙ РЕСПУБЛИКИ</w:t>
      </w:r>
    </w:p>
    <w:p w:rsidR="00382687" w:rsidRPr="0064155D" w:rsidRDefault="00382687" w:rsidP="00196BEC">
      <w:pPr>
        <w:jc w:val="center"/>
        <w:rPr>
          <w:b/>
          <w:bCs/>
          <w:sz w:val="28"/>
          <w:szCs w:val="28"/>
        </w:rPr>
      </w:pPr>
      <w:r w:rsidRPr="0064155D">
        <w:rPr>
          <w:b/>
          <w:bCs/>
          <w:sz w:val="28"/>
          <w:szCs w:val="28"/>
        </w:rPr>
        <w:t>(МИНИМУЩЕСТВО КЧР)</w:t>
      </w:r>
    </w:p>
    <w:p w:rsidR="00382687" w:rsidRPr="0064155D" w:rsidRDefault="00382687" w:rsidP="00196BEC">
      <w:pPr>
        <w:jc w:val="center"/>
        <w:rPr>
          <w:sz w:val="28"/>
          <w:szCs w:val="28"/>
        </w:rPr>
      </w:pPr>
    </w:p>
    <w:p w:rsidR="00382687" w:rsidRPr="0064155D" w:rsidRDefault="00382687" w:rsidP="00196B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82687" w:rsidRPr="00512E84" w:rsidRDefault="00382687" w:rsidP="00196BEC">
      <w:pPr>
        <w:jc w:val="center"/>
        <w:rPr>
          <w:b/>
          <w:bCs/>
          <w:sz w:val="28"/>
          <w:szCs w:val="28"/>
        </w:rPr>
      </w:pPr>
    </w:p>
    <w:p w:rsidR="00382687" w:rsidRPr="003A1D3F" w:rsidRDefault="00382687" w:rsidP="00196BEC">
      <w:pPr>
        <w:jc w:val="both"/>
      </w:pPr>
      <w:r w:rsidRPr="003A1D3F">
        <w:rPr>
          <w:u w:val="single"/>
        </w:rPr>
        <w:t>13.12.2017</w:t>
      </w:r>
      <w:r w:rsidRPr="003A1D3F">
        <w:t xml:space="preserve">                                                                                                                </w:t>
      </w:r>
      <w:r>
        <w:t xml:space="preserve">                        </w:t>
      </w:r>
      <w:r w:rsidRPr="003A1D3F">
        <w:t xml:space="preserve">№ </w:t>
      </w:r>
      <w:r w:rsidRPr="003A1D3F">
        <w:rPr>
          <w:u w:val="single"/>
        </w:rPr>
        <w:t>875</w:t>
      </w:r>
    </w:p>
    <w:p w:rsidR="00382687" w:rsidRPr="003A1D3F" w:rsidRDefault="00382687" w:rsidP="00196BEC">
      <w:pPr>
        <w:jc w:val="center"/>
      </w:pPr>
      <w:r w:rsidRPr="003A1D3F">
        <w:t>г. Черкесск</w:t>
      </w:r>
    </w:p>
    <w:p w:rsidR="00382687" w:rsidRDefault="00382687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382687" w:rsidRPr="003A1D3F" w:rsidRDefault="00382687" w:rsidP="00B13272">
      <w:pPr>
        <w:jc w:val="both"/>
        <w:rPr>
          <w:color w:val="000000"/>
        </w:rPr>
      </w:pPr>
      <w:r w:rsidRPr="003A1D3F">
        <w:rPr>
          <w:color w:val="000000"/>
        </w:rPr>
        <w:t>Об условиях приватизации акций, являющихся собственностью  Карачаево-Черкесской Республики</w:t>
      </w:r>
    </w:p>
    <w:p w:rsidR="00382687" w:rsidRPr="003A1D3F" w:rsidRDefault="00382687" w:rsidP="00B13272">
      <w:pPr>
        <w:jc w:val="both"/>
        <w:rPr>
          <w:color w:val="000000"/>
        </w:rPr>
      </w:pPr>
    </w:p>
    <w:p w:rsidR="00382687" w:rsidRPr="003A1D3F" w:rsidRDefault="00382687" w:rsidP="00B13272">
      <w:pPr>
        <w:pStyle w:val="NormalWeb"/>
        <w:spacing w:before="0" w:beforeAutospacing="0" w:after="0" w:afterAutospacing="0"/>
        <w:jc w:val="both"/>
      </w:pPr>
      <w:r w:rsidRPr="003A1D3F">
        <w:rPr>
          <w:color w:val="000000"/>
        </w:rPr>
        <w:tab/>
      </w:r>
      <w:r w:rsidRPr="003A1D3F">
        <w:t>В соответствии с Федеральным законом «О приватизации государственного и муниципального имущества» от 21.12.2001 № 178-ФЗ, п</w:t>
      </w:r>
      <w:r w:rsidRPr="003A1D3F">
        <w:rPr>
          <w:noProof/>
        </w:rPr>
        <w:t xml:space="preserve">остановлением Народного Собрания (Парламента) Карачаево-Черкесской Республики от 16.02.2017 № 7 </w:t>
      </w:r>
      <w:r w:rsidRPr="003A1D3F">
        <w:t>«Об утверждении Прогнозного плана (Программы) приватизации республиканского имущества на 2017-2019 годы»</w:t>
      </w:r>
    </w:p>
    <w:p w:rsidR="00382687" w:rsidRPr="003A1D3F" w:rsidRDefault="00382687" w:rsidP="00B13272">
      <w:pPr>
        <w:pStyle w:val="NormalWeb"/>
        <w:spacing w:before="0" w:beforeAutospacing="0" w:after="0" w:afterAutospacing="0"/>
        <w:rPr>
          <w:rStyle w:val="Strong"/>
        </w:rPr>
      </w:pPr>
    </w:p>
    <w:p w:rsidR="00382687" w:rsidRPr="003A1D3F" w:rsidRDefault="00382687" w:rsidP="0094385B">
      <w:pPr>
        <w:adjustRightInd w:val="0"/>
        <w:jc w:val="both"/>
        <w:outlineLvl w:val="0"/>
      </w:pPr>
      <w:r w:rsidRPr="003A1D3F">
        <w:rPr>
          <w:color w:val="000000"/>
        </w:rPr>
        <w:tab/>
        <w:t xml:space="preserve">1. Приватизировать путем продажи </w:t>
      </w:r>
      <w:r w:rsidRPr="003A1D3F">
        <w:t xml:space="preserve">на открытом по составу участников и открытом по форме подачи предложений аукционе находящиеся в собственности Карачаево-Черкесской Республики акции следующих открытых акционерных: </w:t>
      </w:r>
    </w:p>
    <w:tbl>
      <w:tblPr>
        <w:tblW w:w="101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3"/>
        <w:gridCol w:w="4557"/>
        <w:gridCol w:w="1728"/>
        <w:gridCol w:w="1616"/>
        <w:gridCol w:w="1598"/>
      </w:tblGrid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№</w:t>
            </w:r>
          </w:p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 xml:space="preserve"> п/п</w:t>
            </w:r>
          </w:p>
          <w:p w:rsidR="00382687" w:rsidRPr="003A1D3F" w:rsidRDefault="00382687" w:rsidP="0094385B">
            <w:pPr>
              <w:pStyle w:val="NormalWeb"/>
              <w:jc w:val="center"/>
            </w:pP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Наименование открытого акционерного общества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Количество акций в лоте (шт.) / в % от уставного капитала общества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 xml:space="preserve">Номинал </w:t>
            </w:r>
            <w:r w:rsidRPr="003A1D3F">
              <w:br/>
              <w:t>одной акции, руб.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Начальная цена продажи акций, руб.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1.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Прикубанское дорожное ремонтно-строительное управление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392090/100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47732000,0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2.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Зеленчукское дорожное ремонтно-строительное управление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35690/100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18033000,0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3.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Усть-Джегутинский дорожный ремонтно-строительный участок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93730/100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24512000,0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4.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Адыге-Хабльский дорожный ремонтно-строительный участок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28160/100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14644936,0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5.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Карачаевский дорожный ремонтно-строительный участок.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16570/100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14011000,0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 xml:space="preserve">6. 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Малокарачаевский дорожный ремонтно-строительный участок.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28740/100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13540000,0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7.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Урупский дорожный ремонтно-строительный участок.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85330/100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19127000,0</w:t>
            </w:r>
          </w:p>
        </w:tc>
      </w:tr>
      <w:tr w:rsidR="00382687" w:rsidRPr="003A1D3F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 xml:space="preserve">8. </w:t>
            </w:r>
          </w:p>
        </w:tc>
        <w:tc>
          <w:tcPr>
            <w:tcW w:w="4557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Хабезский дорожный ремонтно-строительный участок.</w:t>
            </w:r>
          </w:p>
        </w:tc>
        <w:tc>
          <w:tcPr>
            <w:tcW w:w="172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79620/100</w:t>
            </w:r>
          </w:p>
        </w:tc>
        <w:tc>
          <w:tcPr>
            <w:tcW w:w="1616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100</w:t>
            </w:r>
          </w:p>
        </w:tc>
        <w:tc>
          <w:tcPr>
            <w:tcW w:w="1598" w:type="dxa"/>
          </w:tcPr>
          <w:p w:rsidR="00382687" w:rsidRPr="003A1D3F" w:rsidRDefault="00382687" w:rsidP="0094385B">
            <w:pPr>
              <w:pStyle w:val="NormalWeb"/>
              <w:jc w:val="center"/>
            </w:pPr>
            <w:r w:rsidRPr="003A1D3F">
              <w:t>10710000,0</w:t>
            </w:r>
          </w:p>
        </w:tc>
      </w:tr>
    </w:tbl>
    <w:p w:rsidR="00382687" w:rsidRPr="003A1D3F" w:rsidRDefault="00382687" w:rsidP="00B13272">
      <w:pPr>
        <w:pStyle w:val="NormalWeb"/>
        <w:spacing w:before="0" w:beforeAutospacing="0" w:after="0" w:afterAutospacing="0"/>
        <w:jc w:val="both"/>
      </w:pPr>
    </w:p>
    <w:p w:rsidR="00382687" w:rsidRPr="003A1D3F" w:rsidRDefault="00382687" w:rsidP="00B13272">
      <w:pPr>
        <w:pStyle w:val="NormalWeb"/>
        <w:spacing w:before="0" w:beforeAutospacing="0" w:after="0" w:afterAutospacing="0"/>
        <w:jc w:val="both"/>
      </w:pPr>
      <w:r w:rsidRPr="003A1D3F">
        <w:tab/>
        <w:t>2. Контроль за выполнением настоящего распоряжения оставляю за собой.</w:t>
      </w:r>
    </w:p>
    <w:p w:rsidR="00382687" w:rsidRPr="003A1D3F" w:rsidRDefault="00382687" w:rsidP="008E3E31">
      <w:pPr>
        <w:tabs>
          <w:tab w:val="left" w:pos="6580"/>
        </w:tabs>
      </w:pPr>
    </w:p>
    <w:p w:rsidR="00382687" w:rsidRDefault="00382687" w:rsidP="008E3E31">
      <w:pPr>
        <w:tabs>
          <w:tab w:val="left" w:pos="6580"/>
        </w:tabs>
        <w:rPr>
          <w:sz w:val="28"/>
          <w:szCs w:val="28"/>
        </w:rPr>
      </w:pPr>
    </w:p>
    <w:p w:rsidR="00382687" w:rsidRPr="0094385B" w:rsidRDefault="00382687" w:rsidP="008E3E31">
      <w:pPr>
        <w:tabs>
          <w:tab w:val="left" w:pos="6580"/>
        </w:tabs>
        <w:rPr>
          <w:sz w:val="26"/>
          <w:szCs w:val="26"/>
        </w:rPr>
      </w:pPr>
      <w:r w:rsidRPr="0094385B">
        <w:rPr>
          <w:sz w:val="26"/>
          <w:szCs w:val="26"/>
        </w:rPr>
        <w:t xml:space="preserve">Министр                                      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94385B">
        <w:rPr>
          <w:sz w:val="26"/>
          <w:szCs w:val="26"/>
        </w:rPr>
        <w:t>Е.С.Поляков</w:t>
      </w: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382687" w:rsidRDefault="00382687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Министра______________</w:t>
      </w:r>
    </w:p>
    <w:p w:rsidR="00382687" w:rsidRDefault="00382687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отдела__________________</w:t>
      </w:r>
    </w:p>
    <w:p w:rsidR="00382687" w:rsidRPr="00406723" w:rsidRDefault="00382687" w:rsidP="008E3E31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Юрист______________________</w:t>
      </w:r>
    </w:p>
    <w:p w:rsidR="00382687" w:rsidRPr="00406723" w:rsidRDefault="00382687" w:rsidP="00464D47">
      <w:pPr>
        <w:spacing w:line="276" w:lineRule="auto"/>
        <w:ind w:right="6661"/>
        <w:jc w:val="center"/>
        <w:rPr>
          <w:sz w:val="28"/>
          <w:szCs w:val="28"/>
        </w:rPr>
      </w:pPr>
    </w:p>
    <w:sectPr w:rsidR="00382687" w:rsidRPr="00406723" w:rsidSect="0094385B">
      <w:pgSz w:w="11906" w:h="16838"/>
      <w:pgMar w:top="238" w:right="839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687" w:rsidRDefault="00382687">
      <w:r>
        <w:separator/>
      </w:r>
    </w:p>
  </w:endnote>
  <w:endnote w:type="continuationSeparator" w:id="1">
    <w:p w:rsidR="00382687" w:rsidRDefault="00382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687" w:rsidRDefault="00382687">
      <w:r>
        <w:separator/>
      </w:r>
    </w:p>
  </w:footnote>
  <w:footnote w:type="continuationSeparator" w:id="1">
    <w:p w:rsidR="00382687" w:rsidRDefault="00382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E24726"/>
    <w:multiLevelType w:val="hybridMultilevel"/>
    <w:tmpl w:val="87424F6E"/>
    <w:lvl w:ilvl="0" w:tplc="1018E4F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>
      <w:start w:val="1"/>
      <w:numFmt w:val="decimal"/>
      <w:isLgl/>
      <w:lvlText w:val="%1.%2."/>
      <w:lvlJc w:val="left"/>
      <w:pPr>
        <w:tabs>
          <w:tab w:val="num" w:pos="1425"/>
        </w:tabs>
        <w:ind w:left="1425" w:hanging="780"/>
      </w:pPr>
      <w:rPr>
        <w:rFonts w:hint="default"/>
      </w:rPr>
    </w:lvl>
    <w:lvl w:ilvl="2" w:tplc="0419001B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</w:rPr>
    </w:lvl>
    <w:lvl w:ilvl="3" w:tplc="0419000F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 w:tplc="04190019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5" w:tplc="0419001B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hint="default"/>
      </w:rPr>
    </w:lvl>
    <w:lvl w:ilvl="6" w:tplc="0419000F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7" w:tplc="04190019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8" w:tplc="0419001B">
      <w:start w:val="1"/>
      <w:numFmt w:val="decimal"/>
      <w:isLgl/>
      <w:lvlText w:val="%1.%2.%3.%4.%5.%6.%7.%8.%9."/>
      <w:lvlJc w:val="left"/>
      <w:pPr>
        <w:tabs>
          <w:tab w:val="num" w:pos="2805"/>
        </w:tabs>
        <w:ind w:left="280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doNotHyphenateCaps/>
  <w:drawingGridHorizontalSpacing w:val="119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62E22"/>
    <w:rsid w:val="00062F17"/>
    <w:rsid w:val="0006539C"/>
    <w:rsid w:val="000666D0"/>
    <w:rsid w:val="00067108"/>
    <w:rsid w:val="000735A0"/>
    <w:rsid w:val="000803FE"/>
    <w:rsid w:val="000854D0"/>
    <w:rsid w:val="00093DA4"/>
    <w:rsid w:val="000A327B"/>
    <w:rsid w:val="000B7CB9"/>
    <w:rsid w:val="000C2A34"/>
    <w:rsid w:val="000C7C19"/>
    <w:rsid w:val="000D0411"/>
    <w:rsid w:val="000E1652"/>
    <w:rsid w:val="000E5639"/>
    <w:rsid w:val="000E571B"/>
    <w:rsid w:val="000E57F8"/>
    <w:rsid w:val="000F0364"/>
    <w:rsid w:val="001132FD"/>
    <w:rsid w:val="00114BE7"/>
    <w:rsid w:val="0012222D"/>
    <w:rsid w:val="0012651E"/>
    <w:rsid w:val="001319CD"/>
    <w:rsid w:val="00134567"/>
    <w:rsid w:val="0014357A"/>
    <w:rsid w:val="001458E1"/>
    <w:rsid w:val="00145B32"/>
    <w:rsid w:val="00165D75"/>
    <w:rsid w:val="00171AF7"/>
    <w:rsid w:val="00171E45"/>
    <w:rsid w:val="001853B8"/>
    <w:rsid w:val="001854A9"/>
    <w:rsid w:val="001900EF"/>
    <w:rsid w:val="001918A2"/>
    <w:rsid w:val="00196BEC"/>
    <w:rsid w:val="001B6ED2"/>
    <w:rsid w:val="001C2F21"/>
    <w:rsid w:val="001C381F"/>
    <w:rsid w:val="001D3865"/>
    <w:rsid w:val="001D40FC"/>
    <w:rsid w:val="001E4E2A"/>
    <w:rsid w:val="00212AA6"/>
    <w:rsid w:val="00213140"/>
    <w:rsid w:val="00215BC3"/>
    <w:rsid w:val="0022084E"/>
    <w:rsid w:val="002218E1"/>
    <w:rsid w:val="00225227"/>
    <w:rsid w:val="00237E38"/>
    <w:rsid w:val="00241A01"/>
    <w:rsid w:val="00254ABF"/>
    <w:rsid w:val="00271AE5"/>
    <w:rsid w:val="00283898"/>
    <w:rsid w:val="00296E97"/>
    <w:rsid w:val="002A31AF"/>
    <w:rsid w:val="002A52D0"/>
    <w:rsid w:val="002B383F"/>
    <w:rsid w:val="002C3BA4"/>
    <w:rsid w:val="002E1060"/>
    <w:rsid w:val="002F5D26"/>
    <w:rsid w:val="003020AA"/>
    <w:rsid w:val="003027EF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58CB"/>
    <w:rsid w:val="00344BB0"/>
    <w:rsid w:val="00355656"/>
    <w:rsid w:val="00372800"/>
    <w:rsid w:val="00373F56"/>
    <w:rsid w:val="00381BAC"/>
    <w:rsid w:val="00382687"/>
    <w:rsid w:val="003836F4"/>
    <w:rsid w:val="00384A0A"/>
    <w:rsid w:val="0038515A"/>
    <w:rsid w:val="003945D8"/>
    <w:rsid w:val="003A1D3F"/>
    <w:rsid w:val="003A1E8B"/>
    <w:rsid w:val="003C250D"/>
    <w:rsid w:val="003C7174"/>
    <w:rsid w:val="003E63DD"/>
    <w:rsid w:val="00406723"/>
    <w:rsid w:val="004270CE"/>
    <w:rsid w:val="00443BD9"/>
    <w:rsid w:val="004466B3"/>
    <w:rsid w:val="00454379"/>
    <w:rsid w:val="00455B22"/>
    <w:rsid w:val="00457DE9"/>
    <w:rsid w:val="00457EA3"/>
    <w:rsid w:val="00460E0D"/>
    <w:rsid w:val="004623DE"/>
    <w:rsid w:val="00463647"/>
    <w:rsid w:val="00464D47"/>
    <w:rsid w:val="00471B76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4F49E9"/>
    <w:rsid w:val="00501A6E"/>
    <w:rsid w:val="00512017"/>
    <w:rsid w:val="00512E84"/>
    <w:rsid w:val="005307F4"/>
    <w:rsid w:val="0053106A"/>
    <w:rsid w:val="00551DC5"/>
    <w:rsid w:val="005571ED"/>
    <w:rsid w:val="00562A9A"/>
    <w:rsid w:val="005910BC"/>
    <w:rsid w:val="00595830"/>
    <w:rsid w:val="00596D14"/>
    <w:rsid w:val="005A249C"/>
    <w:rsid w:val="005A509F"/>
    <w:rsid w:val="005B49E0"/>
    <w:rsid w:val="005B79AC"/>
    <w:rsid w:val="005C4BA2"/>
    <w:rsid w:val="005F676E"/>
    <w:rsid w:val="006025D8"/>
    <w:rsid w:val="006039AF"/>
    <w:rsid w:val="00603E93"/>
    <w:rsid w:val="00625E39"/>
    <w:rsid w:val="0062685A"/>
    <w:rsid w:val="00637346"/>
    <w:rsid w:val="00641270"/>
    <w:rsid w:val="0064155D"/>
    <w:rsid w:val="00656F06"/>
    <w:rsid w:val="0066782E"/>
    <w:rsid w:val="006678FE"/>
    <w:rsid w:val="006875BC"/>
    <w:rsid w:val="00691720"/>
    <w:rsid w:val="006942B2"/>
    <w:rsid w:val="0069593E"/>
    <w:rsid w:val="006C0180"/>
    <w:rsid w:val="006C1CC3"/>
    <w:rsid w:val="006C7573"/>
    <w:rsid w:val="006D303C"/>
    <w:rsid w:val="006E0C89"/>
    <w:rsid w:val="006E2047"/>
    <w:rsid w:val="006E782E"/>
    <w:rsid w:val="006F4FCA"/>
    <w:rsid w:val="0070566B"/>
    <w:rsid w:val="007072AB"/>
    <w:rsid w:val="007167E9"/>
    <w:rsid w:val="00723A07"/>
    <w:rsid w:val="00736593"/>
    <w:rsid w:val="00744205"/>
    <w:rsid w:val="00751A96"/>
    <w:rsid w:val="00757E0E"/>
    <w:rsid w:val="00793271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F0EA0"/>
    <w:rsid w:val="00801381"/>
    <w:rsid w:val="00805A47"/>
    <w:rsid w:val="00806D7F"/>
    <w:rsid w:val="00807512"/>
    <w:rsid w:val="00807B13"/>
    <w:rsid w:val="00811E0A"/>
    <w:rsid w:val="008172E1"/>
    <w:rsid w:val="00822C15"/>
    <w:rsid w:val="0083220E"/>
    <w:rsid w:val="008330B7"/>
    <w:rsid w:val="008369AB"/>
    <w:rsid w:val="00843C02"/>
    <w:rsid w:val="00862965"/>
    <w:rsid w:val="00863424"/>
    <w:rsid w:val="00864375"/>
    <w:rsid w:val="008716E8"/>
    <w:rsid w:val="008768C7"/>
    <w:rsid w:val="00881E3E"/>
    <w:rsid w:val="0089135A"/>
    <w:rsid w:val="00893139"/>
    <w:rsid w:val="008A220E"/>
    <w:rsid w:val="008B3E93"/>
    <w:rsid w:val="008B7D73"/>
    <w:rsid w:val="008C590A"/>
    <w:rsid w:val="008D0901"/>
    <w:rsid w:val="008E01F1"/>
    <w:rsid w:val="008E1F35"/>
    <w:rsid w:val="008E3E31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2773"/>
    <w:rsid w:val="00942AC6"/>
    <w:rsid w:val="0094385B"/>
    <w:rsid w:val="00946307"/>
    <w:rsid w:val="0096403F"/>
    <w:rsid w:val="00965447"/>
    <w:rsid w:val="00971378"/>
    <w:rsid w:val="00974D11"/>
    <w:rsid w:val="00980B16"/>
    <w:rsid w:val="00983698"/>
    <w:rsid w:val="009907A7"/>
    <w:rsid w:val="00990A76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6B25"/>
    <w:rsid w:val="009F728F"/>
    <w:rsid w:val="00A05394"/>
    <w:rsid w:val="00A10329"/>
    <w:rsid w:val="00A2667B"/>
    <w:rsid w:val="00A827CC"/>
    <w:rsid w:val="00A82B8B"/>
    <w:rsid w:val="00A92E05"/>
    <w:rsid w:val="00AA5F51"/>
    <w:rsid w:val="00AC221B"/>
    <w:rsid w:val="00AC6499"/>
    <w:rsid w:val="00AE5581"/>
    <w:rsid w:val="00B01060"/>
    <w:rsid w:val="00B05F05"/>
    <w:rsid w:val="00B06D3B"/>
    <w:rsid w:val="00B10070"/>
    <w:rsid w:val="00B13272"/>
    <w:rsid w:val="00B17BEA"/>
    <w:rsid w:val="00B2336A"/>
    <w:rsid w:val="00B35486"/>
    <w:rsid w:val="00B37482"/>
    <w:rsid w:val="00B37922"/>
    <w:rsid w:val="00B40223"/>
    <w:rsid w:val="00B521D2"/>
    <w:rsid w:val="00B56562"/>
    <w:rsid w:val="00B57674"/>
    <w:rsid w:val="00B60D98"/>
    <w:rsid w:val="00B63E0F"/>
    <w:rsid w:val="00B67A84"/>
    <w:rsid w:val="00B73D5C"/>
    <w:rsid w:val="00B928C6"/>
    <w:rsid w:val="00B96EF7"/>
    <w:rsid w:val="00BA29DD"/>
    <w:rsid w:val="00BC40F4"/>
    <w:rsid w:val="00BC467E"/>
    <w:rsid w:val="00BE06AF"/>
    <w:rsid w:val="00BE0DB3"/>
    <w:rsid w:val="00BE202F"/>
    <w:rsid w:val="00BE66B0"/>
    <w:rsid w:val="00BF070C"/>
    <w:rsid w:val="00BF3676"/>
    <w:rsid w:val="00BF7AA9"/>
    <w:rsid w:val="00C00143"/>
    <w:rsid w:val="00C01FD1"/>
    <w:rsid w:val="00C03224"/>
    <w:rsid w:val="00C05D24"/>
    <w:rsid w:val="00C1739C"/>
    <w:rsid w:val="00C21D48"/>
    <w:rsid w:val="00C228EA"/>
    <w:rsid w:val="00C329EB"/>
    <w:rsid w:val="00C42A61"/>
    <w:rsid w:val="00C5476A"/>
    <w:rsid w:val="00C54B7B"/>
    <w:rsid w:val="00C64D43"/>
    <w:rsid w:val="00C652D5"/>
    <w:rsid w:val="00C67188"/>
    <w:rsid w:val="00C7328C"/>
    <w:rsid w:val="00C73B28"/>
    <w:rsid w:val="00C765B3"/>
    <w:rsid w:val="00C776B6"/>
    <w:rsid w:val="00C77AA5"/>
    <w:rsid w:val="00C842A0"/>
    <w:rsid w:val="00C946F3"/>
    <w:rsid w:val="00C9721B"/>
    <w:rsid w:val="00C97886"/>
    <w:rsid w:val="00CC0858"/>
    <w:rsid w:val="00CC3138"/>
    <w:rsid w:val="00CC49AD"/>
    <w:rsid w:val="00CC7E4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50BE3"/>
    <w:rsid w:val="00D515FD"/>
    <w:rsid w:val="00D51BD1"/>
    <w:rsid w:val="00D53D2A"/>
    <w:rsid w:val="00D72927"/>
    <w:rsid w:val="00D74105"/>
    <w:rsid w:val="00D7528D"/>
    <w:rsid w:val="00D82D2C"/>
    <w:rsid w:val="00D8480B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E04FCD"/>
    <w:rsid w:val="00E05EF9"/>
    <w:rsid w:val="00E065B1"/>
    <w:rsid w:val="00E06BFE"/>
    <w:rsid w:val="00E14B61"/>
    <w:rsid w:val="00E1743E"/>
    <w:rsid w:val="00E2229E"/>
    <w:rsid w:val="00E22866"/>
    <w:rsid w:val="00E404BA"/>
    <w:rsid w:val="00E46040"/>
    <w:rsid w:val="00E5580B"/>
    <w:rsid w:val="00E7019D"/>
    <w:rsid w:val="00E75F04"/>
    <w:rsid w:val="00E76E94"/>
    <w:rsid w:val="00E9174F"/>
    <w:rsid w:val="00E91989"/>
    <w:rsid w:val="00E94FA3"/>
    <w:rsid w:val="00EB7F08"/>
    <w:rsid w:val="00EC74CA"/>
    <w:rsid w:val="00ED06D8"/>
    <w:rsid w:val="00ED3194"/>
    <w:rsid w:val="00ED3D22"/>
    <w:rsid w:val="00ED4AD8"/>
    <w:rsid w:val="00EE0487"/>
    <w:rsid w:val="00EE1688"/>
    <w:rsid w:val="00F00344"/>
    <w:rsid w:val="00F0798D"/>
    <w:rsid w:val="00F177C4"/>
    <w:rsid w:val="00F2416A"/>
    <w:rsid w:val="00F35CA2"/>
    <w:rsid w:val="00F366FF"/>
    <w:rsid w:val="00F77E2A"/>
    <w:rsid w:val="00F80293"/>
    <w:rsid w:val="00F824E6"/>
    <w:rsid w:val="00F85E10"/>
    <w:rsid w:val="00F912FF"/>
    <w:rsid w:val="00FA07F5"/>
    <w:rsid w:val="00FA7A1F"/>
    <w:rsid w:val="00FB55DE"/>
    <w:rsid w:val="00FB76B9"/>
    <w:rsid w:val="00FD47C5"/>
    <w:rsid w:val="00FE6EAF"/>
    <w:rsid w:val="00FF3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37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BA4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946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FootnoteText">
    <w:name w:val="footnote text"/>
    <w:basedOn w:val="Normal"/>
    <w:link w:val="FootnoteTextChar"/>
    <w:uiPriority w:val="99"/>
    <w:semiHidden/>
    <w:rsid w:val="00C228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7174"/>
  </w:style>
  <w:style w:type="character" w:styleId="FootnoteReference">
    <w:name w:val="footnote reference"/>
    <w:basedOn w:val="DefaultParagraphFont"/>
    <w:uiPriority w:val="99"/>
    <w:semiHidden/>
    <w:rsid w:val="00C228EA"/>
    <w:rPr>
      <w:vertAlign w:val="superscript"/>
    </w:rPr>
  </w:style>
  <w:style w:type="table" w:styleId="TableGrid">
    <w:name w:val="Table Grid"/>
    <w:basedOn w:val="TableNormal"/>
    <w:uiPriority w:val="99"/>
    <w:rsid w:val="00DF6AAE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rsid w:val="00FA7A1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FA7A1F"/>
  </w:style>
  <w:style w:type="character" w:styleId="EndnoteReference">
    <w:name w:val="endnote reference"/>
    <w:basedOn w:val="DefaultParagraphFont"/>
    <w:uiPriority w:val="99"/>
    <w:semiHidden/>
    <w:rsid w:val="00FA7A1F"/>
    <w:rPr>
      <w:vertAlign w:val="superscript"/>
    </w:rPr>
  </w:style>
  <w:style w:type="character" w:styleId="Hyperlink">
    <w:name w:val="Hyperlink"/>
    <w:basedOn w:val="DefaultParagraphFont"/>
    <w:uiPriority w:val="99"/>
    <w:rsid w:val="00FA07F5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E3E31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B1327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17D60"/>
    <w:rPr>
      <w:sz w:val="24"/>
      <w:szCs w:val="24"/>
    </w:rPr>
  </w:style>
  <w:style w:type="paragraph" w:styleId="NormalWeb">
    <w:name w:val="Normal (Web)"/>
    <w:basedOn w:val="Normal"/>
    <w:uiPriority w:val="99"/>
    <w:rsid w:val="00B1327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locked/>
    <w:rsid w:val="00B132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0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317</Words>
  <Characters>1811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dc:description/>
  <cp:lastModifiedBy>1</cp:lastModifiedBy>
  <cp:revision>3</cp:revision>
  <cp:lastPrinted>2017-12-15T13:09:00Z</cp:lastPrinted>
  <dcterms:created xsi:type="dcterms:W3CDTF">2017-12-15T12:47:00Z</dcterms:created>
  <dcterms:modified xsi:type="dcterms:W3CDTF">2017-12-15T13:12:00Z</dcterms:modified>
</cp:coreProperties>
</file>