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F8" w:rsidRPr="001D40F8" w:rsidRDefault="001D40F8" w:rsidP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1"/>
      <w:bookmarkEnd w:id="0"/>
      <w:r w:rsidRPr="001D40F8">
        <w:rPr>
          <w:rFonts w:ascii="Times New Roman" w:hAnsi="Times New Roman"/>
          <w:b/>
          <w:bCs/>
        </w:rPr>
        <w:t>МИНИСТЕРСТВО ПРИРОДНЫХ РЕСУРСОВ И ЭКОЛОГИИ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РОССИЙСКОЙ ФЕДЕРАЦИИ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ПРИКАЗ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от 27 октября 2010 г. N 464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ОБ УТВЕРЖДЕНИИ ТРЕБОВАНИЙ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К СТРУКТУРЕ И ОФОРМЛЕНИЮ ПРОЕКТНОЙ ДОКУМЕНТАЦИИ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НА СТРОИТЕЛЬСТВО И ЭКСПЛУАТАЦИЮ ПОДЗЕМНЫХ СООРУЖЕНИЙ,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НЕ СВЯЗАННЫХ С ДОБЫЧЕЙ ПОЛЕЗНЫХ ИСКОПАЕМЫХ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1D40F8">
        <w:rPr>
          <w:rFonts w:ascii="Times New Roman" w:hAnsi="Times New Roman"/>
        </w:rPr>
        <w:t xml:space="preserve">В соответствии с </w:t>
      </w:r>
      <w:hyperlink r:id="rId4" w:history="1">
        <w:r w:rsidRPr="001D40F8">
          <w:rPr>
            <w:rFonts w:ascii="Times New Roman" w:hAnsi="Times New Roman"/>
          </w:rPr>
          <w:t>пунктом 14</w:t>
        </w:r>
      </w:hyperlink>
      <w:r w:rsidRPr="001D40F8">
        <w:rPr>
          <w:rFonts w:ascii="Times New Roman" w:hAnsi="Times New Roman"/>
        </w:rP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3 марта 2010 г. N 118 (Собрание законодательства Российской Федерации, 2010, N 10, ст. 1100), </w:t>
      </w:r>
      <w:hyperlink r:id="rId5" w:history="1">
        <w:r w:rsidRPr="001D40F8">
          <w:rPr>
            <w:rFonts w:ascii="Times New Roman" w:hAnsi="Times New Roman"/>
          </w:rPr>
          <w:t>Положением</w:t>
        </w:r>
      </w:hyperlink>
      <w:r w:rsidRPr="001D40F8">
        <w:rPr>
          <w:rFonts w:ascii="Times New Roman" w:hAnsi="Times New Roman"/>
        </w:rPr>
        <w:t xml:space="preserve"> о</w:t>
      </w:r>
      <w:proofErr w:type="gramEnd"/>
      <w:r w:rsidRPr="001D40F8">
        <w:rPr>
          <w:rFonts w:ascii="Times New Roman" w:hAnsi="Times New Roman"/>
        </w:rPr>
        <w:t xml:space="preserve"> </w:t>
      </w:r>
      <w:proofErr w:type="gramStart"/>
      <w:r w:rsidRPr="001D40F8">
        <w:rPr>
          <w:rFonts w:ascii="Times New Roman" w:hAnsi="Times New Roman"/>
        </w:rPr>
        <w:t>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2581, N 42, ст. 4825, N 46, ст. 5337; 2009, N 3, ст. 378, N 6, ст. 738, N 33, ст. 4088, N 34, ст. 4192, N 49, ст. 5976;</w:t>
      </w:r>
      <w:proofErr w:type="gramEnd"/>
      <w:r w:rsidRPr="001D40F8">
        <w:rPr>
          <w:rFonts w:ascii="Times New Roman" w:hAnsi="Times New Roman"/>
        </w:rPr>
        <w:t xml:space="preserve"> </w:t>
      </w:r>
      <w:proofErr w:type="gramStart"/>
      <w:r w:rsidRPr="001D40F8">
        <w:rPr>
          <w:rFonts w:ascii="Times New Roman" w:hAnsi="Times New Roman"/>
        </w:rPr>
        <w:t>2010, N 5, ст. 538, N 10, ст. 1094, N 14, ст. 1656, N 26, ст. 3350, N 31, ст. 4251, N 31, ст. 4268, N 38, ст. 4835), приказываю:</w:t>
      </w:r>
      <w:proofErr w:type="gramEnd"/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1. Утвердить прилагаемые </w:t>
      </w:r>
      <w:hyperlink w:anchor="Par30" w:history="1">
        <w:r w:rsidRPr="001D40F8">
          <w:rPr>
            <w:rFonts w:ascii="Times New Roman" w:hAnsi="Times New Roman"/>
          </w:rPr>
          <w:t>требования</w:t>
        </w:r>
      </w:hyperlink>
      <w:r w:rsidRPr="001D40F8">
        <w:rPr>
          <w:rFonts w:ascii="Times New Roman" w:hAnsi="Times New Roman"/>
        </w:rPr>
        <w:t xml:space="preserve"> к структуре и оформлению проектной документации на строительство и эксплуатацию подземных сооружений, не связанных с добычей полезных ископаемых.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2. Настоящий Приказ вступает в силу через шесть месяцев после дня его официального опубликования.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D40F8">
        <w:rPr>
          <w:rFonts w:ascii="Times New Roman" w:hAnsi="Times New Roman"/>
        </w:rPr>
        <w:t>Министр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D40F8">
        <w:rPr>
          <w:rFonts w:ascii="Times New Roman" w:hAnsi="Times New Roman"/>
        </w:rPr>
        <w:t>Ю.П.ТРУТНЕВ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bookmarkStart w:id="1" w:name="Par26"/>
      <w:bookmarkEnd w:id="1"/>
      <w:r w:rsidRPr="001D40F8">
        <w:rPr>
          <w:rFonts w:ascii="Times New Roman" w:hAnsi="Times New Roman"/>
        </w:rPr>
        <w:t>Приложение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D40F8">
        <w:rPr>
          <w:rFonts w:ascii="Times New Roman" w:hAnsi="Times New Roman"/>
        </w:rPr>
        <w:t>к Приказу Минприроды России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D40F8">
        <w:rPr>
          <w:rFonts w:ascii="Times New Roman" w:hAnsi="Times New Roman"/>
        </w:rPr>
        <w:t>от 27.10.2010 N 464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2" w:name="Par30"/>
      <w:bookmarkEnd w:id="2"/>
      <w:r w:rsidRPr="001D40F8">
        <w:rPr>
          <w:rFonts w:ascii="Times New Roman" w:hAnsi="Times New Roman"/>
          <w:b/>
          <w:bCs/>
        </w:rPr>
        <w:t>ТРЕБОВАНИЯ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К СТРУКТУРЕ И ОФОРМЛЕНИЮ ПРОЕКТНОЙ ДОКУМЕНТАЦИИ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НА СТРОИТЕЛЬСТВО И ЭКСПЛУАТАЦИЮ ПОДЗЕМНЫХ СООРУЖЕНИЙ,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D40F8">
        <w:rPr>
          <w:rFonts w:ascii="Times New Roman" w:hAnsi="Times New Roman"/>
          <w:b/>
          <w:bCs/>
        </w:rPr>
        <w:t>НЕ СВЯЗАННЫХ С ДОБЫЧЕЙ ПОЛЕЗНЫХ ИСКОПАЕМЫХ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3" w:name="Par35"/>
      <w:bookmarkEnd w:id="3"/>
      <w:r w:rsidRPr="001D40F8">
        <w:rPr>
          <w:rFonts w:ascii="Times New Roman" w:hAnsi="Times New Roman"/>
        </w:rPr>
        <w:t>I. Требования к структуре технологического проекта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D40F8">
        <w:rPr>
          <w:rFonts w:ascii="Times New Roman" w:hAnsi="Times New Roman"/>
        </w:rPr>
        <w:t>на строительство и эксплуатацию подземных хранилищ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D40F8">
        <w:rPr>
          <w:rFonts w:ascii="Times New Roman" w:hAnsi="Times New Roman"/>
        </w:rPr>
        <w:t>углеводородного сырья и продуктов его переработки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1. Титульный лист.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2. Список исполнителей.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3. Содержание.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4. Список таблиц.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5. Список рисунков.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6. Список табличных приложений.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7. Список графических приложений.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 Введение.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8.1. Общие сведения о предоставленном в пользование участке недр.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8.2. История геологического изучения и разведки участка недр.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8.3. Краткие сведения о районе работ, его обустроенности.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lastRenderedPageBreak/>
        <w:t>8.4. Сведения о недропользователе.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 Расчетные параметры и показатели создаваемого подземного хранилища углеводородного сырья (УВС).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9.1. Место размещения в единой системе газоснабжения и назначение подземного хранилища.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9.2. Этапы и сроки строительства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9.3. Динамика производительности подземного хранилища в периоды отбора (закачки)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9.4. Продолжительность периодов отбора (закачки)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9.5. Активный объем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9.6. Исходные расчетные параметры для технологического проектирования.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 Геолого-промысловая характеристика участка недр, предоставленного для строительства и эксплуатации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10.1. Геологическое строение </w:t>
      </w:r>
      <w:proofErr w:type="gramStart"/>
      <w:r w:rsidRPr="001D40F8">
        <w:rPr>
          <w:rFonts w:ascii="Times New Roman" w:hAnsi="Times New Roman"/>
        </w:rPr>
        <w:t>пласт-коллектора</w:t>
      </w:r>
      <w:proofErr w:type="gramEnd"/>
      <w:r w:rsidRPr="001D40F8">
        <w:rPr>
          <w:rFonts w:ascii="Times New Roman" w:hAnsi="Times New Roman"/>
        </w:rPr>
        <w:t xml:space="preserve"> хранения и контрольных горизонтов.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10.2. Геологическая и гидрогеологическая характеристика горизонтов (в т.ч. пластов-коллекторов).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10.3. Анализ данных газогидродинамических, геофизических, гидрохимических исследований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10.4. Результаты разведочной закачки УВС (при ее проведении).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10.5. Анализ герметичности пластов-коллекторов хранения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10.6. Анализ результатов разработки месторождения (при создании подземного хранилища в истощенных месторождениях).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10.7. Физико-химическая характеристика состава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10.8. Оценка остаточных запасов УВС (при создании подземного хранилища в истощенных месторождениях).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10.9. Анализ состояния существующего фонда скважин, оценка срока их эксплуатации и рекомендации по их дальнейшему использованию.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10.10. Выбор пластов-коллекторов для хранения газа, </w:t>
      </w:r>
      <w:proofErr w:type="gramStart"/>
      <w:r w:rsidRPr="001D40F8">
        <w:rPr>
          <w:rFonts w:ascii="Times New Roman" w:hAnsi="Times New Roman"/>
        </w:rPr>
        <w:t>контроля за</w:t>
      </w:r>
      <w:proofErr w:type="gramEnd"/>
      <w:r w:rsidRPr="001D40F8">
        <w:rPr>
          <w:rFonts w:ascii="Times New Roman" w:hAnsi="Times New Roman"/>
        </w:rPr>
        <w:t xml:space="preserve"> герметичностью, для сброса промстоков и водоносных горизонтов для водоснабжения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 Цифровая геологическая модель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11.1. Описание геологической модели.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11.2. Исходные данные, используемые в геологической модели.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11.3. Результаты адаптации геологической модели к исходным данным.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 Технологическая часть.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12.1. Обоснование максимального пластового давления.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12.2. Обоснование суточных темпов закачки и отбора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12.3. Обоснование активного объема газа (в т.ч. долгосрочного резерва).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12.4. Обоснование буферного объема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12.5. Оценка максимального газонасыщенного порового объема.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12.6. Оценка максимального контура распространения УВС по площади структуры.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12.7. Обоснование диаметра насосно-компрессорных труб.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12.8. Оценка суточной производительности эксплуатационных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 Результаты прогнозных расчетов динамики основных параметров эксплуатации объекта хранения при создании и циклической эксплуатации: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12.9.1. Общий, активный объем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12.9.2. Объем отбора (закачки) УВС за сезон.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12.9.3. Производительность эксплуатационных скважин и подземного хранилища УВС в целом.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12.9.4. Углеводородонасыщенность порового объема хранилища.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12.9.5. Давление и температуры в объекте хранения и на устье эксплуатационных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12.9.6. Количество попутно добываемой с УВС пластовой жидкости.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12.9.7. Количество и характеристика эксплуатационных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12.10. Обоснование количества и схема размещения наблюдательных, контрольных, геофизических, поглотительных скважин на площади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12.11. Оценка мощности компрессорной станции.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12.12. Программа исследований в период эксплуатационного бурения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12.13. Регламент объектного мониторинга недр на период опытно-промышленной эксплуатации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12.14. Конструкция скважин. Наземное и подземное оборудование.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 Цифровая технологическая (геолого-технологическая) модель подземного хранилища УВС: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13.1. Описание технологической модели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lastRenderedPageBreak/>
        <w:t>13.2. Исходные данные, используемые в технологической модели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13.3. Результаты адаптации технологической модели к исходным данным.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 Экономический анализ: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14.1. Анализ неравномерности потребления газа и альтернативных источников энергоснабжения.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14.2. Особенности инфраструктуры.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14.3. Описание социальных групп населения и их занятости.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14.4. Мероприятия по взаимодействию с местными органами власти и населения при создании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14.5. Исходные данные, нормативную и методическую базу экономических расчетов.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14.6. Оценка капитальных вложений (в т.ч. в инфраструктуру), текущих затрат, затрат на ликвидацию подземного хранилища УВС, налогов и платежей.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14.7. Расчет экономической эффективности эксплуатации подземного хранилища УВС с проектными показателями.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14.8. Оценка экономического риска создания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 Маркшейдерско-геодезические работы.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15.1. Маркшейдерские работы при строительстве и эксплуатации подземного хранилища УВС.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15.2. Маркшейдерско-геодезические работы на земной поверхности.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15.3. Маркшейдерская документация (исходная, исполнительная).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 Мероприятия по рациональному использованию и охране недр и безопасному ведению работ, связанных с пользованием недрами.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16.1. Мероприятия по контролю возможной миграции УВС из объекта хранения.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16.2. Мероприятия по ликвидации межколонного давления в скважинах, перетока УВС в вышележащие горизонты, дневную поверхность и за пределы ловушки.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16.3. Оценка воздействия хранения УВС на недра.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 Мероприятия по обеспечению требований в области охраны окружающей среды и экологической безопасности при пользовании недрами.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17.1. Оценка состояния окружающей среды.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17.2. Виды и источники воздействия на окружающую среду и оценка последствий их воздействия.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17.3. Мероприятия по охране атмосферного воздуха.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17.4. Мероприятия по охране водных объектов.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17.5. Мероприятия по охране земельных ресурсов, растительного и животного мира.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18. Сроки и условия выполнения работ по консервации и (или) ликвидации скважин, подземных хранилищ, а также рекультивации земель.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19. Заключение.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20. Список использованных источников.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21. Табличные приложения.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 Графические приложения.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23. Техническое задание.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4" w:name="Par129"/>
      <w:bookmarkEnd w:id="4"/>
      <w:r w:rsidRPr="001D40F8">
        <w:rPr>
          <w:rFonts w:ascii="Times New Roman" w:hAnsi="Times New Roman"/>
        </w:rPr>
        <w:t>II. Требования к структуре технического проекта</w:t>
      </w: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D40F8">
        <w:rPr>
          <w:rFonts w:ascii="Times New Roman" w:hAnsi="Times New Roman"/>
        </w:rPr>
        <w:t>на строительство и эксплуатацию подземных сооружений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1. Титульный лист.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2. Список исполнителей.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3. Содержание.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4. Список таблиц.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5. Список рисунков.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6. Список табличных приложений.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7. Список графических приложений.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 Введение.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8.1. Общие сведения о районе и участке недр.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8.2. Природно-климатические условия района расположения участка недр.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8.3. Экономические условия, транспорт, водоснабжение, энергоснабжение.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 Краткая геолого-гидрогеологическая характеристика района расположения участка недр.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9.1. Стратиграфия и литология.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9.2. Структурно-тектоническое положение.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9.3. Гидрогеологическая характеристика района и участка недр (до зоны активного водообмена).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lastRenderedPageBreak/>
        <w:t>9.3.1. Обоснование перспективного водоносного комплекса (пласта-коллектора) для размещения/захоронения отходов в геологическом разрезе участка недр и предварительной природной гидрогеологической модели.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9.3.2. Опыт эксплуатации целевого водоносного комплекса (пласта-коллектора) как объекта размещения/захоронения отходов в районе расположения участка недр (при наличии).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 Геолого-гидрогеологическая характеристика поглощающего пласта-коллектора, "буферного" и других водоносных горизонтов.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10.1. Литологический состав, фильтрационные и емкостные свойства поглощающего пласта-коллектора, "буферного" и других водоносных горизонтов по данным ранее выполненных работ.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10.2. Характеристика непроницаемых отложений.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 Методика, виды, объемы и результаты выполненных работ и исследований.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11.1. Комплекс промыслово-геофизических исследований скважин (ГИС) в стволе и в колонне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11.2. Интерпретация данных ГИС.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11.3. Оценка фильтрационных и емкостных свой</w:t>
      </w:r>
      <w:proofErr w:type="gramStart"/>
      <w:r w:rsidRPr="001D40F8">
        <w:rPr>
          <w:rFonts w:ascii="Times New Roman" w:hAnsi="Times New Roman"/>
        </w:rPr>
        <w:t>ств пр</w:t>
      </w:r>
      <w:proofErr w:type="gramEnd"/>
      <w:r w:rsidRPr="001D40F8">
        <w:rPr>
          <w:rFonts w:ascii="Times New Roman" w:hAnsi="Times New Roman"/>
        </w:rPr>
        <w:t>оницаемых пластов и водоупорных горизонтов по данным ГИС.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11.4. Опробование перспективных пластов-коллекторов пробными откачками и отбор проб пластовых вод.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11.5. Результаты определения гидрогеологических параметров и емкостных свойств поглощающих пластов-коллекторов по данным откачек.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 Опытные закачки отходов.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12.1. Определение приемистости и удельной приемистости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12.2. Определение гидрогеологических параметров по данным опытных закачек.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12.3. Изучение состава отходов и основные результаты.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 Оценка совместимости отходов и пластовых вод.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13.1. Прогнозные гидрогеологические расчеты по обоснованию проектного (или действующего) подземного сооружения и процесса захоронения отходов.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13.2. Обоснование расчетной схемы (природной модели), средних значений гидрогеологических параметров и емкостных свой</w:t>
      </w:r>
      <w:proofErr w:type="gramStart"/>
      <w:r w:rsidRPr="001D40F8">
        <w:rPr>
          <w:rFonts w:ascii="Times New Roman" w:hAnsi="Times New Roman"/>
        </w:rPr>
        <w:t>ств пл</w:t>
      </w:r>
      <w:proofErr w:type="gramEnd"/>
      <w:r w:rsidRPr="001D40F8">
        <w:rPr>
          <w:rFonts w:ascii="Times New Roman" w:hAnsi="Times New Roman"/>
        </w:rPr>
        <w:t>астов-коллекторов.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13.3. Обоснование режима размещения/захоронения отходов.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13.4. Прогноз повышения пластового давления и избыточного давления на устье скважин (при необходимости - с применением математического моделирования).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13.5. Прогноз распространения отходов в поглощающем пласте-коллекторе на расчетный срок (при необходимости - с применением математического моделирования).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13.6. Обоснование предварительных границ горного отвода подземного сооружения.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14. Конструкции поглощающих (нагнетательных) и наблюдательных скважин и их подземного и наземного оборудования.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 Насосное и иное оборудование для закачки отходов.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 Сведения о составе отходов и их предварительной подготовке для закачки в поглощающие (нагнетательные) скважины.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 Аппаратура и приборы для измерения расходов и объемов отходов, давлений, в т.ч. компьютерные системы для ведения мониторинга закачки в режиме реального времени.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18. Способы и технологии контроля состава отходов и пластовых вод в наблюдательных скважинах.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19. Методы восстановления приемистости поглощающих (нагнетательных) скважин.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20. Программа организации и ведения мониторинга состояния недр в процессе эксплуатации подземного сооружения.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21. Мероприятия по рациональному использованию и охране недр и безопасному ведению работ, связанных с пользованием недрами.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 Мероприятия по обеспечению требований в области охраны окружающей среды и экологической безопасности при пользовании недрами.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22.1. Оценка состояния окружающей среды.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22.2. Виды и источники воздействия на окружающую среду и оценка последствий их воздействия при строительстве и эксплуатации подземного сооружения.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22.3. Мероприятия по охране атмосферного воздуха.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22.4. Мероприятия по охране водных объектов.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22.5. Мероприятия по охране земельных ресурсов, растительного и животного мира.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23. Сроки и условия выполнения работ по консервации и (или) ликвидации скважин, подземных </w:t>
      </w:r>
      <w:r w:rsidRPr="001D40F8">
        <w:rPr>
          <w:rFonts w:ascii="Times New Roman" w:hAnsi="Times New Roman"/>
        </w:rPr>
        <w:lastRenderedPageBreak/>
        <w:t>сооружений, наземных объектов, а также рекультивации земель.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24. Заключение.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25. Список использованных источников.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26. Табличные приложения.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27. Графические приложения.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28. Техническое задание.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29. Структура технического проекта строительства подземного сооружения (или фрагмента подземного сооружения) для опытно-промышленной эксплуатации соответствует структуре технического проекта на строительство и эксплуатацию подземных сооружений, приведенной в </w:t>
      </w:r>
      <w:hyperlink w:anchor="Par129" w:history="1">
        <w:r w:rsidRPr="001D40F8">
          <w:rPr>
            <w:rFonts w:ascii="Times New Roman" w:hAnsi="Times New Roman"/>
          </w:rPr>
          <w:t>разделе II</w:t>
        </w:r>
      </w:hyperlink>
      <w:r w:rsidRPr="001D40F8">
        <w:rPr>
          <w:rFonts w:ascii="Times New Roman" w:hAnsi="Times New Roman"/>
        </w:rPr>
        <w:t xml:space="preserve"> настоящих Требований. С учетом временного характера элементов оборудования скважин, наземных сооружений, технологии предварительной подготовки отходов, аппаратуры и приборов для измерения расходов и объемов отходов, давлений закачки разделы могут быть представлены в сокращенном виде.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5" w:name="Par191"/>
      <w:bookmarkEnd w:id="5"/>
      <w:r w:rsidRPr="001D40F8">
        <w:rPr>
          <w:rFonts w:ascii="Times New Roman" w:hAnsi="Times New Roman"/>
        </w:rPr>
        <w:t>III. Требования к оформлению проектной документации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1. В проектную документацию на строительство и эксплуатацию подземного сооружения, не связанного с добычей полезного ископаемого, могут быть дополнительно введены другие структурные элементы, содержание которых устанавливается по согласованию между заказчиком и исполнителем работ.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2. Проектная документация на строительство и эксплуатацию подземного сооружения, не связанного с добычей полезного ископаемого, должна содержать все данные, позволяющие производить анализ проектных решений без личного участия авторов.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3. Объемы и детальность проработки отдельных разделов определяются авторами проектной документации в зависимости от сложности строения участка недр, количества эксплуатационных объектов и рассматриваемых вариантов их строительства и эксплуатации, стадии проектирования.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4. Допускается в изменениях (дополнениях) к технологическим и техническим проектам на строительство и эксплуатацию подземных сооружений, не связанных с добычей полезных ископаемых, включение только тех разделов, в которых содержится измененная информация, вносимая в технологические или технические проекты.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5. Титульный лист проектной документации должен содержать следующие сведения: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наименование пользователя недр;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наименование организации-исполнителя проектной документации;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грифы согласования и утверждения;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наименование проектной документации;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наименование участка недр;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район расположения работ;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- место и год составления проектной документации.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6. Если проектная документация состоит из двух и более частей (томов), то каждая часть (том) должна иметь свой титульный лист, соответствующий титульному листу первой части (тома) и содержащий сведения, относящиеся к данной части (тому).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7. Страницы текста проектной документации должны соответствовать формату листа A4, для таблиц допускается формат A3.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8. Проектная документация должна быть выполнена любым печатным способом на одной стороне листа белой бумаги через полтора интервала. Цвет шрифта должен быть черным, высота букв, цифр и других знаков - не менее 1,8 мм (кегль не менее 12).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9. Качество напечатанного текста и оформления иллюстраций, таблиц должно удовлетворять требованию их четкого воспроизведения.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10. Опечатки, описки и графические неточности, обнаруженные в процессе подготовки проектного документа, допускается исправлять подчисткой или закрашиванием белой краской и нанесением на том же месте исправленного текста (графики). Повреждения листов текстовых документов, помарки и следы не полностью удаленного прежнего текста (графики) не допускаются.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11. Страницы проектной документации следует нумеровать арабскими цифрами, соблюдая сквозную нумерацию по всему тексту. Титульный лист проектного документа включается в общую нумерацию страниц отчета. Номер страницы на титульном листе не проставляется.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12. Таблицы, расположенные на отдельных листах, включаются в общую нумерацию страниц отчета. Иллюстрации и таблицы на листе формата A3 учитывают как одну страницу.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13. Название таблицы помещается над таблицей слева, без абзацного отступа в одну строку с ее номером через тире.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lastRenderedPageBreak/>
        <w:t>14. Таблицы, за исключением таблиц приложений, нумеруются арабскими цифрами сквозной нумерацией. Допускается нумеровать таблицы в пределах раздела.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15. Сведения об использованных источниках располагаются в порядке появления ссылок на источники в тексте отчета и нумеруются арабскими цифрами без точки и печатаются с абзацного отступа.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16. Приложение к проектной документации оформляется как продолжение проектного документа на последующих его листах или выпускают в виде самостоятельной части (тома).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17. Приложения должны иметь сквозную нумерацию страниц. При необходимости такое приложение может иметь "Содержание".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 xml:space="preserve">18. </w:t>
      </w:r>
      <w:proofErr w:type="gramStart"/>
      <w:r w:rsidRPr="001D40F8">
        <w:rPr>
          <w:rFonts w:ascii="Times New Roman" w:hAnsi="Times New Roman"/>
        </w:rPr>
        <w:t xml:space="preserve">Исходные данные, применяемые для проектирования строительства и эксплуатации подземных сооружений, не связанных с добычей полезных ископаемых, и результаты расчетов технологических показателей приводятся в соответствии с требованиями, установленными </w:t>
      </w:r>
      <w:hyperlink r:id="rId6" w:history="1">
        <w:r w:rsidRPr="001D40F8">
          <w:rPr>
            <w:rFonts w:ascii="Times New Roman" w:hAnsi="Times New Roman"/>
          </w:rPr>
          <w:t>Положением</w:t>
        </w:r>
      </w:hyperlink>
      <w:r w:rsidRPr="001D40F8">
        <w:rPr>
          <w:rFonts w:ascii="Times New Roman" w:hAnsi="Times New Roman"/>
        </w:rPr>
        <w:t xml:space="preserve"> о единицах величин, допускаемых к применению в Российской Федерации, утвержденным Постановлением Правительства Российской Федерации от 31.10.2009 N 879 (Собрание законодательства Российской Федерации, 2009, N 45, ст. 5352).</w:t>
      </w:r>
      <w:proofErr w:type="gramEnd"/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40F8">
        <w:rPr>
          <w:rFonts w:ascii="Times New Roman" w:hAnsi="Times New Roman"/>
        </w:rPr>
        <w:t>19. Графические материалы исполняются в соответствии с установленными требованиями.</w:t>
      </w: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D40F8" w:rsidRPr="001D40F8" w:rsidRDefault="001D40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21BBF" w:rsidRPr="001D40F8" w:rsidRDefault="00B21BBF">
      <w:pPr>
        <w:rPr>
          <w:rFonts w:ascii="Times New Roman" w:hAnsi="Times New Roman"/>
        </w:rPr>
      </w:pPr>
    </w:p>
    <w:sectPr w:rsidR="00B21BBF" w:rsidRPr="001D40F8" w:rsidSect="000537F2">
      <w:pgSz w:w="11905" w:h="16837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1D40F8"/>
    <w:rsid w:val="00016FBE"/>
    <w:rsid w:val="000243B2"/>
    <w:rsid w:val="00037A19"/>
    <w:rsid w:val="000415AE"/>
    <w:rsid w:val="000575B4"/>
    <w:rsid w:val="00086F1D"/>
    <w:rsid w:val="00090645"/>
    <w:rsid w:val="00093C0A"/>
    <w:rsid w:val="00097535"/>
    <w:rsid w:val="000A6CF0"/>
    <w:rsid w:val="000B16F9"/>
    <w:rsid w:val="000B2612"/>
    <w:rsid w:val="000B2D49"/>
    <w:rsid w:val="000C6452"/>
    <w:rsid w:val="000D10ED"/>
    <w:rsid w:val="000E3D5E"/>
    <w:rsid w:val="000F35D7"/>
    <w:rsid w:val="000F7B38"/>
    <w:rsid w:val="001010C9"/>
    <w:rsid w:val="00105B5F"/>
    <w:rsid w:val="0014061B"/>
    <w:rsid w:val="00142D85"/>
    <w:rsid w:val="00160B8D"/>
    <w:rsid w:val="00170BC4"/>
    <w:rsid w:val="001747EF"/>
    <w:rsid w:val="001806A7"/>
    <w:rsid w:val="001A209C"/>
    <w:rsid w:val="001A64E6"/>
    <w:rsid w:val="001B20D3"/>
    <w:rsid w:val="001C186F"/>
    <w:rsid w:val="001D2D2D"/>
    <w:rsid w:val="001D40F8"/>
    <w:rsid w:val="001D7010"/>
    <w:rsid w:val="001E3698"/>
    <w:rsid w:val="001E3BEE"/>
    <w:rsid w:val="001F31AF"/>
    <w:rsid w:val="001F5F09"/>
    <w:rsid w:val="00205B72"/>
    <w:rsid w:val="00216C5E"/>
    <w:rsid w:val="00236465"/>
    <w:rsid w:val="002567B1"/>
    <w:rsid w:val="00257359"/>
    <w:rsid w:val="002809AA"/>
    <w:rsid w:val="002914AA"/>
    <w:rsid w:val="00296B9C"/>
    <w:rsid w:val="002A4497"/>
    <w:rsid w:val="002B6863"/>
    <w:rsid w:val="002C0C33"/>
    <w:rsid w:val="002D17EB"/>
    <w:rsid w:val="002F3643"/>
    <w:rsid w:val="00344B99"/>
    <w:rsid w:val="003456DC"/>
    <w:rsid w:val="003759F2"/>
    <w:rsid w:val="003B1D25"/>
    <w:rsid w:val="003B744D"/>
    <w:rsid w:val="003C1B3A"/>
    <w:rsid w:val="003C258B"/>
    <w:rsid w:val="003D1DA2"/>
    <w:rsid w:val="003D7D6A"/>
    <w:rsid w:val="003E49C9"/>
    <w:rsid w:val="003E4D98"/>
    <w:rsid w:val="003F0650"/>
    <w:rsid w:val="00410B0A"/>
    <w:rsid w:val="004358FF"/>
    <w:rsid w:val="00440EB3"/>
    <w:rsid w:val="00462696"/>
    <w:rsid w:val="00470BD4"/>
    <w:rsid w:val="0047559F"/>
    <w:rsid w:val="004904CC"/>
    <w:rsid w:val="00495EA8"/>
    <w:rsid w:val="004B599D"/>
    <w:rsid w:val="004C476C"/>
    <w:rsid w:val="0050105E"/>
    <w:rsid w:val="005040E1"/>
    <w:rsid w:val="00510C43"/>
    <w:rsid w:val="0053250F"/>
    <w:rsid w:val="0054275C"/>
    <w:rsid w:val="005556D5"/>
    <w:rsid w:val="00560E39"/>
    <w:rsid w:val="0056720D"/>
    <w:rsid w:val="00577F09"/>
    <w:rsid w:val="005A3ACC"/>
    <w:rsid w:val="005A6FE4"/>
    <w:rsid w:val="005B5E46"/>
    <w:rsid w:val="005C47ED"/>
    <w:rsid w:val="005D39A2"/>
    <w:rsid w:val="005E1A45"/>
    <w:rsid w:val="005E532D"/>
    <w:rsid w:val="005F1714"/>
    <w:rsid w:val="00605592"/>
    <w:rsid w:val="0063436C"/>
    <w:rsid w:val="0064228A"/>
    <w:rsid w:val="0065239C"/>
    <w:rsid w:val="00656F68"/>
    <w:rsid w:val="00684AD1"/>
    <w:rsid w:val="00685B6C"/>
    <w:rsid w:val="006C1DD9"/>
    <w:rsid w:val="006C3DC1"/>
    <w:rsid w:val="006C6E25"/>
    <w:rsid w:val="006D0975"/>
    <w:rsid w:val="006D297D"/>
    <w:rsid w:val="006D7B31"/>
    <w:rsid w:val="006E0D6F"/>
    <w:rsid w:val="006E70FB"/>
    <w:rsid w:val="006F379B"/>
    <w:rsid w:val="00702D85"/>
    <w:rsid w:val="00703CEA"/>
    <w:rsid w:val="00720228"/>
    <w:rsid w:val="00720514"/>
    <w:rsid w:val="00724324"/>
    <w:rsid w:val="007335E6"/>
    <w:rsid w:val="00735831"/>
    <w:rsid w:val="007676EE"/>
    <w:rsid w:val="00790BD8"/>
    <w:rsid w:val="007A2924"/>
    <w:rsid w:val="007B19C2"/>
    <w:rsid w:val="007B5AFD"/>
    <w:rsid w:val="007C2565"/>
    <w:rsid w:val="007D07A5"/>
    <w:rsid w:val="007D2AE2"/>
    <w:rsid w:val="007E16F8"/>
    <w:rsid w:val="007E207C"/>
    <w:rsid w:val="007F69DA"/>
    <w:rsid w:val="0082469C"/>
    <w:rsid w:val="008263B4"/>
    <w:rsid w:val="00847C0A"/>
    <w:rsid w:val="00850253"/>
    <w:rsid w:val="00852F54"/>
    <w:rsid w:val="008640B8"/>
    <w:rsid w:val="00865D9F"/>
    <w:rsid w:val="0086600A"/>
    <w:rsid w:val="00884EF1"/>
    <w:rsid w:val="0088516C"/>
    <w:rsid w:val="00890239"/>
    <w:rsid w:val="00891167"/>
    <w:rsid w:val="008A164F"/>
    <w:rsid w:val="008B07A7"/>
    <w:rsid w:val="008B2B01"/>
    <w:rsid w:val="008B2E6C"/>
    <w:rsid w:val="008B4004"/>
    <w:rsid w:val="008C1558"/>
    <w:rsid w:val="008D0F12"/>
    <w:rsid w:val="008E3D9F"/>
    <w:rsid w:val="00917F58"/>
    <w:rsid w:val="0093176E"/>
    <w:rsid w:val="00933BFB"/>
    <w:rsid w:val="00934AA3"/>
    <w:rsid w:val="009414A4"/>
    <w:rsid w:val="00947EDD"/>
    <w:rsid w:val="00961184"/>
    <w:rsid w:val="009649A4"/>
    <w:rsid w:val="00983A3A"/>
    <w:rsid w:val="0098421C"/>
    <w:rsid w:val="00997F22"/>
    <w:rsid w:val="009A1609"/>
    <w:rsid w:val="009B5B5B"/>
    <w:rsid w:val="009D0E82"/>
    <w:rsid w:val="009D4B86"/>
    <w:rsid w:val="009D574A"/>
    <w:rsid w:val="009F2CF0"/>
    <w:rsid w:val="009F4FBA"/>
    <w:rsid w:val="00A01955"/>
    <w:rsid w:val="00A05DC4"/>
    <w:rsid w:val="00A200CF"/>
    <w:rsid w:val="00A26A59"/>
    <w:rsid w:val="00A54371"/>
    <w:rsid w:val="00A64A7A"/>
    <w:rsid w:val="00A973C8"/>
    <w:rsid w:val="00AA0948"/>
    <w:rsid w:val="00AA7C1B"/>
    <w:rsid w:val="00AD1118"/>
    <w:rsid w:val="00AE0B56"/>
    <w:rsid w:val="00AF6DB8"/>
    <w:rsid w:val="00B21BBF"/>
    <w:rsid w:val="00B60192"/>
    <w:rsid w:val="00B750AC"/>
    <w:rsid w:val="00B80915"/>
    <w:rsid w:val="00B859FF"/>
    <w:rsid w:val="00B905B3"/>
    <w:rsid w:val="00BE1D3C"/>
    <w:rsid w:val="00BE46D8"/>
    <w:rsid w:val="00C010DC"/>
    <w:rsid w:val="00C02937"/>
    <w:rsid w:val="00C05A58"/>
    <w:rsid w:val="00C1174A"/>
    <w:rsid w:val="00C16E6C"/>
    <w:rsid w:val="00C26358"/>
    <w:rsid w:val="00C2719B"/>
    <w:rsid w:val="00C35F43"/>
    <w:rsid w:val="00C373E7"/>
    <w:rsid w:val="00C45EEF"/>
    <w:rsid w:val="00C66494"/>
    <w:rsid w:val="00C716E9"/>
    <w:rsid w:val="00C72987"/>
    <w:rsid w:val="00CA2037"/>
    <w:rsid w:val="00CA31E7"/>
    <w:rsid w:val="00CB3DC2"/>
    <w:rsid w:val="00CB5C66"/>
    <w:rsid w:val="00CB68C0"/>
    <w:rsid w:val="00CD2297"/>
    <w:rsid w:val="00CD4CE0"/>
    <w:rsid w:val="00CD4D38"/>
    <w:rsid w:val="00CD7852"/>
    <w:rsid w:val="00D019E2"/>
    <w:rsid w:val="00D03E9D"/>
    <w:rsid w:val="00D165E4"/>
    <w:rsid w:val="00D3386D"/>
    <w:rsid w:val="00D3441C"/>
    <w:rsid w:val="00D432A0"/>
    <w:rsid w:val="00D43511"/>
    <w:rsid w:val="00D44044"/>
    <w:rsid w:val="00D51807"/>
    <w:rsid w:val="00D664FC"/>
    <w:rsid w:val="00D71D83"/>
    <w:rsid w:val="00D8213B"/>
    <w:rsid w:val="00D82E75"/>
    <w:rsid w:val="00D92505"/>
    <w:rsid w:val="00D970EE"/>
    <w:rsid w:val="00DA6939"/>
    <w:rsid w:val="00DB7FBD"/>
    <w:rsid w:val="00DC2768"/>
    <w:rsid w:val="00DC73A3"/>
    <w:rsid w:val="00DD1BAD"/>
    <w:rsid w:val="00DD4C7F"/>
    <w:rsid w:val="00DF5CC9"/>
    <w:rsid w:val="00DF65BF"/>
    <w:rsid w:val="00E064BC"/>
    <w:rsid w:val="00E20DB4"/>
    <w:rsid w:val="00E237C9"/>
    <w:rsid w:val="00E37C82"/>
    <w:rsid w:val="00E56F2C"/>
    <w:rsid w:val="00E6311C"/>
    <w:rsid w:val="00E63C14"/>
    <w:rsid w:val="00E664DF"/>
    <w:rsid w:val="00E75F2D"/>
    <w:rsid w:val="00E938C3"/>
    <w:rsid w:val="00EB5B57"/>
    <w:rsid w:val="00EC33E4"/>
    <w:rsid w:val="00ED1717"/>
    <w:rsid w:val="00F026AF"/>
    <w:rsid w:val="00F036E5"/>
    <w:rsid w:val="00F6158F"/>
    <w:rsid w:val="00F653BD"/>
    <w:rsid w:val="00F67AD6"/>
    <w:rsid w:val="00F74E18"/>
    <w:rsid w:val="00F83734"/>
    <w:rsid w:val="00F843A0"/>
    <w:rsid w:val="00F964DF"/>
    <w:rsid w:val="00FA3DE2"/>
    <w:rsid w:val="00FB29BC"/>
    <w:rsid w:val="00FB69DA"/>
    <w:rsid w:val="00FD4713"/>
    <w:rsid w:val="00FE4D20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5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4B1B4310F6C8C6A7F8A8A9E13333E9A1B4BDDCC478052705DC7313D19B73B5CDB4256497CBEf6ZDJ" TargetMode="External"/><Relationship Id="rId5" Type="http://schemas.openxmlformats.org/officeDocument/2006/relationships/hyperlink" Target="consultantplus://offline/ref=C5B4B1B4310F6C8C6A7F8A8A9E13333E921F4ADACD48DD587804CB333A16E82C5B924E57497CBE61f7Z3J" TargetMode="External"/><Relationship Id="rId4" Type="http://schemas.openxmlformats.org/officeDocument/2006/relationships/hyperlink" Target="consultantplus://offline/ref=C5B4B1B4310F6C8C6A7F8A8A9E13333E921F4DDBCE4EDD587804CB333A16E82C5B924E57497CBE63f7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2667</Words>
  <Characters>15208</Characters>
  <Application>Microsoft Office Word</Application>
  <DocSecurity>0</DocSecurity>
  <Lines>126</Lines>
  <Paragraphs>35</Paragraphs>
  <ScaleCrop>false</ScaleCrop>
  <Company>Microsoft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2015-04-24T09:25:00Z</dcterms:created>
  <dcterms:modified xsi:type="dcterms:W3CDTF">2015-04-24T09:26:00Z</dcterms:modified>
</cp:coreProperties>
</file>