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01 декабря 2010 г. N 461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ПРОВЕДЕНИЯ АУКЦИОНОВ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ПРАВО ПОЛЬЗОВАНИЯ УЧАСТКАМИ НЕДР МЕСТНОГО ЗНАЧЕНИЯ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КАРАЧАЕВО-ЧЕРКЕССКОЙ РЕСПУБЛИКИ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КЧР</w:t>
      </w:r>
      <w:proofErr w:type="gramEnd"/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09.10.2012 </w:t>
      </w:r>
      <w:hyperlink r:id="rId5" w:history="1">
        <w:r>
          <w:rPr>
            <w:rFonts w:ascii="Calibri" w:hAnsi="Calibri" w:cs="Calibri"/>
            <w:color w:val="0000FF"/>
          </w:rPr>
          <w:t>N 421</w:t>
        </w:r>
      </w:hyperlink>
      <w:r>
        <w:rPr>
          <w:rFonts w:ascii="Calibri" w:hAnsi="Calibri" w:cs="Calibri"/>
        </w:rPr>
        <w:t xml:space="preserve">, от 17.02.2015 </w:t>
      </w:r>
      <w:hyperlink r:id="rId6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>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статьями 10.1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13.1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Закона Российской Федерации от 21.02.92 N 2395-1 "О недрах" и </w:t>
      </w:r>
      <w:hyperlink r:id="rId10" w:history="1">
        <w:r>
          <w:rPr>
            <w:rFonts w:ascii="Calibri" w:hAnsi="Calibri" w:cs="Calibri"/>
            <w:color w:val="0000FF"/>
          </w:rPr>
          <w:t>статьями 4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Закона Карачаево-Черкесской Республики от 25.01.2006 N 11-РЗ "О порядке пользования участками недр местного значения на территории Карачаево-Черкесской Республики", с целью обеспечения функционирования государственной системы лицензирования пользования участками недр, распоряжение которыми относится к компетенции Карачаево-Черкесской Республики, Правительство Карачаево-Черкесской Республики</w:t>
      </w:r>
      <w:proofErr w:type="gramEnd"/>
      <w:r>
        <w:rPr>
          <w:rFonts w:ascii="Calibri" w:hAnsi="Calibri" w:cs="Calibri"/>
        </w:rPr>
        <w:t xml:space="preserve"> постановляет: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аукционов на право пользования участками недр местного значения на территории Карачаево-Черкесской Республики, согласно приложению.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вопросы недропользования.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М.Р.КЕМОВ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01.12.2010 N 461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АУКЦИОНОВ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ПРАВО ПОЛЬЗОВАНИЯ УЧАСТКАМИ НЕДР МЕСТНОГО ЗНАЧЕНИЯ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КАРАЧАЕВО-ЧЕРКЕССКОЙ РЕСПУБЛИКИ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КЧР</w:t>
      </w:r>
      <w:proofErr w:type="gramEnd"/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09.10.2012 </w:t>
      </w:r>
      <w:hyperlink r:id="rId14" w:history="1">
        <w:r>
          <w:rPr>
            <w:rFonts w:ascii="Calibri" w:hAnsi="Calibri" w:cs="Calibri"/>
            <w:color w:val="0000FF"/>
          </w:rPr>
          <w:t>N 421</w:t>
        </w:r>
      </w:hyperlink>
      <w:r>
        <w:rPr>
          <w:rFonts w:ascii="Calibri" w:hAnsi="Calibri" w:cs="Calibri"/>
        </w:rPr>
        <w:t xml:space="preserve">, от 17.02.2015 </w:t>
      </w:r>
      <w:hyperlink r:id="rId15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>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1. Общие положения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21.02.92 N 2395-1 "О недрах", </w:t>
      </w:r>
      <w:hyperlink r:id="rId1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лицензирования пользования недрами, </w:t>
      </w:r>
      <w:r>
        <w:rPr>
          <w:rFonts w:ascii="Calibri" w:hAnsi="Calibri" w:cs="Calibri"/>
        </w:rPr>
        <w:lastRenderedPageBreak/>
        <w:t xml:space="preserve">утвержденным постановлением Верховного Совета Российской Федерации от 15.07.92 N 3314-1,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Республики", </w:t>
      </w:r>
      <w:hyperlink r:id="rId1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имущественных и земельных отношений Карачаево-Черкесской Республики, утвержденным Указом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Главы Карачаево-Черкесской Республики от 30.05.2011 N 192, и устанавливает порядок и условия проведения аукционов на право пользования участком недр местного значения на территории Карачаево-Черкесской Республики, включенным в перечень участков недр местного значения, утвержденный уполномоченным органом исполнительной власти Карачаево-Черкесской Республики по недропользованию,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ископаемых.</w:t>
      </w:r>
      <w:proofErr w:type="gramEnd"/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2. Порядок подготовки аукционов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Аукционы на право пользования участками недр, содержащими месторождения общераспространенных полезных ископаемых, или участков недр местного значения (далее - аукцион) проводятся Министерством имущественных и земельных отношений Карачаево-Черкесской Республики (далее - уполномоченный орган исполнительной власти Карачаево-Черкесской Республики по недропользованию).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Выставляемые на аукцион участки недр должны быть включены в перечень объектов лицензирования (далее - Перечень). Перечень формируется уполномоченным органом исполнительной власти Карачаево-Черкесской Республики по недропользованию на основании поступающих заявок потенциальных недропользователей, предложений органов государственной власти Карачаево-Черкесской Республики, органов местного самоуправления муниципальных образований Карачаево-Черкесской Республики.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По объектам, выставляемым на аукцион, уполномоченный орган исполнительной власти Карачаево-Черкесской Республики по недропользованию подготавливает предварительный пакет геологической информации.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условия проведения аукциона не подлежат изменению после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сайт) объявления о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кциона на право пользования участками недр местного значения.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2.3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Условия аукциона, подлежащие включению в лицензию в качестве условий недропользования, должны содержать: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подготовки и утверждения технического проекта разработки месторождения;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ввода месторождения в разработку;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годовой уровень добычи минерального сырья;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рациональному использованию, охране недр и окружающей природной среды, безопасному ведению работ, связанных с пользованием недрами;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стартовые размеры разовых платежей при пользовании недрами, способы обеспечения исполнения обязательств по уплате окончательных размеров разовых платежей за пользование недрами (в том числе сроки их внесения). При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кциона определяется величина шага аукциона в размере не менее 10% от стартового размера разового платежа;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пакета геологической информации.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Объявление о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кциона на право пользования участками недр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не менее чем за 45 дней до дня проведения аукциона на право пользования участками недр.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2.5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Объявление о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 xml:space="preserve">кциона на право пользования участками недр размещается на официальном сайте Российской Федерации в информационно-телекоммуникационной сети Интернет для размещения информации о проведении торгов (далее - официальный сайт) не </w:t>
      </w:r>
      <w:r>
        <w:rPr>
          <w:rFonts w:ascii="Calibri" w:hAnsi="Calibri" w:cs="Calibri"/>
        </w:rPr>
        <w:lastRenderedPageBreak/>
        <w:t>менее чем за 45 дней до дня проведения аукциона на право пользования участками недр.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3. Порядок подачи и рассмотрения заявок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участие в аукционе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Уполномоченный орган исполнительной власти Карачаево-Черкесской Республики по недропользованию предоставляет возможность всем заинтересованным лицам ознакомиться с геологической и иной информацией по объектам, выставляемым на аукцион, с целью принятия решения об участии в аукционе.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ля участия в аукционе необходимо подать заявку в уполномоченный орган исполнительной власти Карачаево-Черкесской Республики по недропользованию. К заявке прилагаются: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 об оплате сбора на участие в аукционе;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регистрационных и учредительных документов заявителя, заверенные в нотариальном порядке, в случае если их наличие предусмотрено действующим законодательством;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не ранее чем за месяц до момента регистрации заявки;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 государственной регистрации заявителя, свидетельство о постановке на учет в налоговом органе, информационное письмо об учете в органах государственной статистики;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налогового органа о наличии (об отсутствии) задолженности по уплате налогов и платежей;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бухгалтерский баланс, отчет о прибылях и убытках;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технико-экономические показатели деятельности заявителя за последние три года (добыча, объем произведенной продукции, прибыль, рентабельность) и в случае если заявитель уже является пользователем недр - отчетный баланс по форме 5-ГР;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лице, имеющем допуск к ведению горных работ (ФИО полностью, сведения об образовании);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доверенность, в случае если заявка подана не руководителем заявителя;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представляются заверенными в установленном порядке;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составленные на иностранном языке, принимаются с сопровождением их нотариально заверенным переводом на русский язык;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заявка подается от простого товарищества, то сведения представляются на каждого участника простого товарищества, а также прилагается нотариально заверенная копия договора о совместной деятельности (простого товарищества).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КЧР от 17.02.2015 N 34)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Заявка считается принятой после оплаты претендентом сбора за участие в аукционе и регистрации ее поступления уполномоченным органом исполнительной власти Карачаево-Черкесской Республики по недропользованию до истечения объявленного срока приема заявок.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Утратил силу.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КЧР от 09.10.2012 N 421.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Принятые заявки проходят экспертизу в уполномоченном органе исполнительной власти Карачаево-Черкесской Республики по недропользованию. В течение 30 дней со дня регистрации заявки уполномоченный орган исполнительной власти Карачаево-Черкесской Республики по недропользованию официально извещает заявителя о приеме (отказе в приеме) заявки на участие в аукционе.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Отказ в приеме заявки на участие в аукционе следует в случаях: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на предоставление лицензии подана с нарушением установленных требований, в том числе, если ее содержание не соответствует объявленным условиям аукциона;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заявитель умышленно представил о себе неверные сведения;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случае предоставления права пользования недрами данному заявителю не будут соблюдены антимонопольные требования.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4"/>
      <w:bookmarkEnd w:id="6"/>
      <w:r>
        <w:rPr>
          <w:rFonts w:ascii="Calibri" w:hAnsi="Calibri" w:cs="Calibri"/>
        </w:rPr>
        <w:t>4. Порядок проведения аукционов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Для проведения аукциона решением уполномоченного органа исполнительной власти Карачаево-Черкесской Республики по недропользованию создается аукционная комиссия, </w:t>
      </w:r>
      <w:hyperlink w:anchor="Par1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работы которой утверждается согласно приложению к Порядку.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Уполномоченный орган исполнительной власти Карачаево-Черкесской Республики по недропользованию информирует членов аукционной комиссии о сроках намечаемых заседаний и рассматриваемых вопросах письменным уведомлением за две недели до дня проведения заседания. На каждом заседании ведется протокол, который подписывается председателем, а в случае его отсутствия - заместителем председателя аукционной комиссии. Решение об итогах проведенного аукциона в соответствии с их условиями принимается открытым голосованием. Решение считается принятым, если за него проголосовало большинство из принимавших участие в голосовании членов аукционной комиссии.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Заседания аукционной комиссии ведет председатель комиссии.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Аукцион проводится при наличии двух или более заявителей. Победитель аукциона на право пользования недрами определяется согласно действующему законодательству.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Аукцион проводится в следующем порядке: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4.5.1. Участникам аукциона выдаются таблички с присвоенными регистрационными номерами, которые участники поднимают после оглашений очередной величины размера платежа, в случае если они готовы заявить эту сумму.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4.5.2. Аукцион начинается с объявления стартового размера разового платежа и каждая последующая сумма, объявляемая на аукционе, должна определяться величиной шага аукциона, установленного в условиях аукциона.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4.5.3. Если после троекратного объявления начальной величины разового платежа ни один из участников аукциона не поднял табличку со своим регистрационным номером, аукцион по участку считается несостоявшимся и объект снимается с аукциона.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4.5.4. Если после троекратного объявления очередной величины разового платежа ни один из участников аукциона не поднял табличку со своим регистрационным номером, аукцион завершается и его победителем признается участник, номер которого был назван последним.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Итоговый протокол заседания аукционной комиссии подписывается в день заседания комиссии всеми членами комиссии, принимавшими участие в заседании, и должен содержать: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выставляемого на аукцион участка недр;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участников заседания аукционной комиссии;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заявителей, допущенных к участию в аукционе;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стартовый и окончательный размер разового платежа за пользование участком недр;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официальное наименование победителя аукциона.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аукционной комиссии, не согласные с принятым решением, письменно мотивируют свою позицию, которая прилагается к подписанному протоколу.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Протокол о результатах проведенного аукциона составляется в двух экземплярах, один из которых передается победителю, второй остается у организатора аукциона для принятия соответствующего решения о результатах аукциона.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4.7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Аукцион считается несостоявшимся: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на участие в аукционе подана одна заявка;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участниками аукциона не предложена величина разового платежа выше стартового размера.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4.9. Материалы о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кциона хранятся в уполномоченном органе исполнительной власти Карачаево-Черкесской Республики по недропользованию.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24"/>
      <w:bookmarkEnd w:id="7"/>
      <w:r>
        <w:rPr>
          <w:rFonts w:ascii="Calibri" w:hAnsi="Calibri" w:cs="Calibri"/>
        </w:rPr>
        <w:t>Приложение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27"/>
      <w:bookmarkEnd w:id="8"/>
      <w:r>
        <w:rPr>
          <w:rFonts w:ascii="Calibri" w:hAnsi="Calibri" w:cs="Calibri"/>
          <w:b/>
          <w:bCs/>
        </w:rPr>
        <w:t>ПОРЯДОК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РАБОТЫ АУКЦИОННОЙ КОМИССИИ ПРИ ПРОВЕДЕН</w:t>
      </w:r>
      <w:proofErr w:type="gramStart"/>
      <w:r>
        <w:rPr>
          <w:rFonts w:ascii="Calibri" w:hAnsi="Calibri" w:cs="Calibri"/>
          <w:b/>
          <w:bCs/>
        </w:rPr>
        <w:t>ИИ АУ</w:t>
      </w:r>
      <w:proofErr w:type="gramEnd"/>
      <w:r>
        <w:rPr>
          <w:rFonts w:ascii="Calibri" w:hAnsi="Calibri" w:cs="Calibri"/>
          <w:b/>
          <w:bCs/>
        </w:rPr>
        <w:t>КЦИОНОВ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ПРАВО ПОЛЬЗОВАНИЯ УЧАСТКАМИ НЕДР МЕСТНОГО ЗНАЧЕНИЯ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КАРАЧАЕВО-ЧЕРКЕССКОЙ РЕСПУБЛИКИ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Аукцион на право пользования участками недр проводится аукционной комиссией, созданной уполномоченным органом исполнительной власти Карачаево-Черкесской Республики по недропользованию. Аукционная комиссия состоит из председателя аукционной комиссии, заместителя председателя аукционной комиссии, секретаря аукционной комиссии и других членов комиссии.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состав аукционной комиссии включаются представители органов исполнительной власти Карачаево-Черкесской Республики, а также по согласованию территориальных федеральных органов исполнительной власти Российской Федерации по Карачаево-Черкесской Республике, уполномоченных в сфере недропользования.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членов аукционной комиссии должно составлять не менее 7 и не более 15 человек.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Членами аукционной комиссии не могут быть лица, лично заинтересованные в результатах аукциона, либо лица, аффилированные с участниками аукциона. В случае выявления в составе аукционной комиссии указанных лиц, уполномоченный орган исполнительной власти Карачаево-Черкесской Республики по недропользованию обязано незамедлительно заменить их иными лицами.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 аукционной комиссии, лично заинтересованный в результатах аукциона либо аффилированный с участником аукциона, обязан письменно известить об этом председателя аукционной комиссии до подведения итогов аукциона. Председатель аукционной комиссии обязан незамедлительно передать данную информацию в уполномоченный орган исполнительной власти Карачаево-Черкесской Республики по недропользованию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Председатель аукционной комиссии руководит деятельностью комиссии и председательствует на заседаниях комиссии.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отсутствие председателя комиссии его функции выполняет заместитель председателя комиссии.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связи с невозможностью участия члена аукционной комиссии вследствие отпуска, командировки, болезни или при наличии обстоятельств, не позволяющих принять участие в работе аукционной комиссии, если о таких обстоятельствах стало известно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три дня до даты проведения аукциона, допускается изменение состава аукционной комиссии.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состава аукционной комиссии возможно не позднее 3 календарных дней до даты проведения заседания аукционной комиссии на основании решения уполномоченного органа исполнительной власти Карачаево-Черкесской Республики по недропользованию.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09.10.2012 N 421)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Заседание аукционной комиссии правомочно, если на нем присутствует более половины от </w:t>
      </w:r>
      <w:r>
        <w:rPr>
          <w:rFonts w:ascii="Calibri" w:hAnsi="Calibri" w:cs="Calibri"/>
        </w:rPr>
        <w:lastRenderedPageBreak/>
        <w:t>установленного количества.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в любой форме (в том числе нотариально удостоверенной) членами комиссии полномочий по принятию решений, отнесенных к компетенц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кционной комиссии, другим ее членам не допускается.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Организационное обеспечение деятельности аукционной комиссии осуществляется уполномоченным органом исполнительной власти Карачаево-Черкесской Республики по недропользованию.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 случае неявки без уважительных причин членов аукционной комиссии, а также в случае выяснения обстоятельств, свидетельствующих о том, что указанные лица лично заинтересованы в результатах аукциона либо являются аффилированными с участником аукциона, председатель аукционной комиссии обеспечивает оперативное информирование органов исполнительной власти Карачаево-Черкесской Республики, а также территориальных органов федеральных органов исполнительной власти Российской Федерации по Карачаево-Черкесской Республике, уполномоченных в сфере недропользования</w:t>
      </w:r>
      <w:proofErr w:type="gramEnd"/>
      <w:r>
        <w:rPr>
          <w:rFonts w:ascii="Calibri" w:hAnsi="Calibri" w:cs="Calibri"/>
        </w:rPr>
        <w:t>, с предложением о привлечении их должностных лиц к ответственности.</w:t>
      </w: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583" w:rsidRDefault="0066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583" w:rsidRDefault="0066558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26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65583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5583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02ACA9A9E85AEFA52CB30A5D940DFDB2B8C8CFB132C4A01DE1F8244ACD7D2DCD460299C83A2A6nCGEH" TargetMode="External"/><Relationship Id="rId13" Type="http://schemas.openxmlformats.org/officeDocument/2006/relationships/hyperlink" Target="consultantplus://offline/ref=64A02ACA9A9E85AEFA52D53DB3B51CD5D820D181F31A271D56DC4ED74AA9DF8294C42E6C9182A4A5C77CnCG5H" TargetMode="External"/><Relationship Id="rId18" Type="http://schemas.openxmlformats.org/officeDocument/2006/relationships/hyperlink" Target="consultantplus://offline/ref=64A02ACA9A9E85AEFA52D53DB3B51CD5D820D181FA14271F5D8144DF13A5DD85n9GBH" TargetMode="External"/><Relationship Id="rId26" Type="http://schemas.openxmlformats.org/officeDocument/2006/relationships/hyperlink" Target="consultantplus://offline/ref=64A02ACA9A9E85AEFA52D53DB3B51CD5D820D181FA142415548144DF13A5DD859B9B396BD88EA5A5C77CCCnBG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A02ACA9A9E85AEFA52D53DB3B51CD5D820D181FA142415548144DF13A5DD859B9B396BD88EA5A5C77CCCnBGAH" TargetMode="External"/><Relationship Id="rId34" Type="http://schemas.openxmlformats.org/officeDocument/2006/relationships/hyperlink" Target="consultantplus://offline/ref=64A02ACA9A9E85AEFA52D53DB3B51CD5D820D181F31A271D56DC4ED74AA9DF8294C42E6C9182A4A5C77EnCGBH" TargetMode="External"/><Relationship Id="rId7" Type="http://schemas.openxmlformats.org/officeDocument/2006/relationships/hyperlink" Target="consultantplus://offline/ref=64A02ACA9A9E85AEFA52CB30A5D940DFDB2B8C8CFB132C4A01DE1F8244ACD7D2DCD460299C83A2A4nCGEH" TargetMode="External"/><Relationship Id="rId12" Type="http://schemas.openxmlformats.org/officeDocument/2006/relationships/hyperlink" Target="consultantplus://offline/ref=64A02ACA9A9E85AEFA52D53DB3B51CD5D820D181FA142415548144DF13A5DD859B9B396BD88EA5A5C77CCDnBGCH" TargetMode="External"/><Relationship Id="rId17" Type="http://schemas.openxmlformats.org/officeDocument/2006/relationships/hyperlink" Target="consultantplus://offline/ref=64A02ACA9A9E85AEFA52CB30A5D940DFDB2E888EFF1B2C4A01DE1F8244ACD7D2DCD460299C83A4A4nCG7H" TargetMode="External"/><Relationship Id="rId25" Type="http://schemas.openxmlformats.org/officeDocument/2006/relationships/hyperlink" Target="consultantplus://offline/ref=64A02ACA9A9E85AEFA52D53DB3B51CD5D820D181FA142415548144DF13A5DD859B9B396BD88EA5A5C77CCCnBGDH" TargetMode="External"/><Relationship Id="rId33" Type="http://schemas.openxmlformats.org/officeDocument/2006/relationships/hyperlink" Target="consultantplus://offline/ref=64A02ACA9A9E85AEFA52D53DB3B51CD5D820D181F31A271D56DC4ED74AA9DF8294C42E6C9182A4A5C77EnCG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A02ACA9A9E85AEFA52CB30A5D940DFDB2D898EFA152C4A01DE1F8244nAGCH" TargetMode="External"/><Relationship Id="rId20" Type="http://schemas.openxmlformats.org/officeDocument/2006/relationships/hyperlink" Target="consultantplus://offline/ref=64A02ACA9A9E85AEFA52D53DB3B51CD5D820D181FA142415548144DF13A5DD859B9B396BD88EA5A5C77CCDnBG2H" TargetMode="External"/><Relationship Id="rId29" Type="http://schemas.openxmlformats.org/officeDocument/2006/relationships/hyperlink" Target="consultantplus://offline/ref=64A02ACA9A9E85AEFA52D53DB3B51CD5D820D181F31A271D56DC4ED74AA9DF8294C42E6C9182A4A5C77EnCG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02ACA9A9E85AEFA52D53DB3B51CD5D820D181FA142415548144DF13A5DD859B9B396BD88EA5A5C77CCDnBGFH" TargetMode="External"/><Relationship Id="rId11" Type="http://schemas.openxmlformats.org/officeDocument/2006/relationships/hyperlink" Target="consultantplus://offline/ref=64A02ACA9A9E85AEFA52D53DB3B51CD5D820D181FF11221C56DC4ED74AA9DF8294C42E6C9182A4A5C57DnCGBH" TargetMode="External"/><Relationship Id="rId24" Type="http://schemas.openxmlformats.org/officeDocument/2006/relationships/hyperlink" Target="consultantplus://offline/ref=64A02ACA9A9E85AEFA52D53DB3B51CD5D820D181FA142415548144DF13A5DD859B9B396BD88EA5A5C77CCCnBGFH" TargetMode="External"/><Relationship Id="rId32" Type="http://schemas.openxmlformats.org/officeDocument/2006/relationships/hyperlink" Target="consultantplus://offline/ref=64A02ACA9A9E85AEFA52D53DB3B51CD5D820D181F31A271D56DC4ED74AA9DF8294C42E6C9182A4A5C77EnCGB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4A02ACA9A9E85AEFA52D53DB3B51CD5D820D181F31A271D56DC4ED74AA9DF8294C42E6C9182A4A5C77CnCG8H" TargetMode="External"/><Relationship Id="rId15" Type="http://schemas.openxmlformats.org/officeDocument/2006/relationships/hyperlink" Target="consultantplus://offline/ref=64A02ACA9A9E85AEFA52D53DB3B51CD5D820D181FA142415548144DF13A5DD859B9B396BD88EA5A5C77CCDnBGDH" TargetMode="External"/><Relationship Id="rId23" Type="http://schemas.openxmlformats.org/officeDocument/2006/relationships/hyperlink" Target="consultantplus://offline/ref=64A02ACA9A9E85AEFA52D53DB3B51CD5D820D181F31A271D56DC4ED74AA9DF8294C42E6C9182A4A5C77CnCG4H" TargetMode="External"/><Relationship Id="rId28" Type="http://schemas.openxmlformats.org/officeDocument/2006/relationships/hyperlink" Target="consultantplus://offline/ref=64A02ACA9A9E85AEFA52D53DB3B51CD5D820D181F31A271D56DC4ED74AA9DF8294C42E6C9182A4A5C77EnCGF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4A02ACA9A9E85AEFA52D53DB3B51CD5D820D181FF11221C56DC4ED74AA9DF8294C42E6C9182A4A5C57CnCGFH" TargetMode="External"/><Relationship Id="rId19" Type="http://schemas.openxmlformats.org/officeDocument/2006/relationships/hyperlink" Target="consultantplus://offline/ref=64A02ACA9A9E85AEFA52D53DB3B51CD5D820D181F31A271C56DC4ED74AA9DF8294C42E6C9182A4A5C77DnCG9H" TargetMode="External"/><Relationship Id="rId31" Type="http://schemas.openxmlformats.org/officeDocument/2006/relationships/hyperlink" Target="consultantplus://offline/ref=64A02ACA9A9E85AEFA52D53DB3B51CD5D820D181F31A271D56DC4ED74AA9DF8294C42E6C9182A4A5C77EnCG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A02ACA9A9E85AEFA52CB30A5D940DFDB2B8C8CFB132C4A01DE1F8244ACD7D2DCD460299C83A2A0nCG3H" TargetMode="External"/><Relationship Id="rId14" Type="http://schemas.openxmlformats.org/officeDocument/2006/relationships/hyperlink" Target="consultantplus://offline/ref=64A02ACA9A9E85AEFA52D53DB3B51CD5D820D181F31A271D56DC4ED74AA9DF8294C42E6C9182A4A5C77CnCG4H" TargetMode="External"/><Relationship Id="rId22" Type="http://schemas.openxmlformats.org/officeDocument/2006/relationships/hyperlink" Target="consultantplus://offline/ref=64A02ACA9A9E85AEFA52D53DB3B51CD5D820D181FA142415548144DF13A5DD859B9B396BD88EA5A5C77CCCnBG9H" TargetMode="External"/><Relationship Id="rId27" Type="http://schemas.openxmlformats.org/officeDocument/2006/relationships/hyperlink" Target="consultantplus://offline/ref=64A02ACA9A9E85AEFA52D53DB3B51CD5D820D181F31A271D56DC4ED74AA9DF8294C42E6C9182A4A5C77DnCGCH" TargetMode="External"/><Relationship Id="rId30" Type="http://schemas.openxmlformats.org/officeDocument/2006/relationships/hyperlink" Target="consultantplus://offline/ref=64A02ACA9A9E85AEFA52D53DB3B51CD5D820D181F31A271D56DC4ED74AA9DF8294C42E6C9182A4A5C77EnCG9H" TargetMode="External"/><Relationship Id="rId35" Type="http://schemas.openxmlformats.org/officeDocument/2006/relationships/hyperlink" Target="consultantplus://offline/ref=64A02ACA9A9E85AEFA52D53DB3B51CD5D820D181F31A271D56DC4ED74AA9DF8294C42E6C9182A4A5C77EnC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3144</Words>
  <Characters>17922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2015-04-10T07:06:00Z</dcterms:created>
  <dcterms:modified xsi:type="dcterms:W3CDTF">2015-04-10T07:07:00Z</dcterms:modified>
</cp:coreProperties>
</file>