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CF" w:rsidRDefault="001125CF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C206A" w:rsidRPr="00B60C45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ОТЧЕТ</w:t>
      </w:r>
    </w:p>
    <w:p w:rsidR="001C206A" w:rsidRPr="00B60C45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О ФАКТИЧЕСКИХ (ДОСТИГНУТЫХ) ЗНАЧЕНИЯХ ПОКАЗАТЕЛЕЙ</w:t>
      </w:r>
    </w:p>
    <w:p w:rsidR="001C206A" w:rsidRPr="00B60C45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РЕЗУЛЬТАТИВНОСТИ И ЭФФЕКТИВНОСТИ КОНТРОЛЬНО-НАДЗОРНОЙ</w:t>
      </w:r>
    </w:p>
    <w:p w:rsidR="001C206A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0C45">
        <w:rPr>
          <w:b/>
          <w:bCs/>
          <w:sz w:val="28"/>
          <w:szCs w:val="28"/>
        </w:rPr>
        <w:t>ДЕЯТЕЛЬНОСТИ</w:t>
      </w:r>
    </w:p>
    <w:p w:rsidR="001C206A" w:rsidRPr="00026B7C" w:rsidRDefault="001C206A" w:rsidP="001C20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026B7C">
        <w:rPr>
          <w:b/>
          <w:bCs/>
          <w:sz w:val="28"/>
          <w:szCs w:val="28"/>
          <w:u w:val="single"/>
        </w:rPr>
        <w:t>за 2019 год</w:t>
      </w:r>
    </w:p>
    <w:p w:rsidR="001C206A" w:rsidRPr="001125CF" w:rsidRDefault="001C206A" w:rsidP="001C206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C206A" w:rsidRPr="001125CF" w:rsidRDefault="001C206A" w:rsidP="001C206A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u w:val="single"/>
        </w:rPr>
      </w:pPr>
      <w:r w:rsidRPr="001125CF">
        <w:rPr>
          <w:rFonts w:ascii="Courier New" w:hAnsi="Courier New" w:cs="Courier New"/>
          <w:bCs/>
          <w:sz w:val="20"/>
        </w:rPr>
        <w:t xml:space="preserve">  </w:t>
      </w:r>
      <w:r w:rsidRPr="001125CF">
        <w:rPr>
          <w:bCs/>
          <w:sz w:val="24"/>
          <w:szCs w:val="24"/>
          <w:u w:val="single"/>
        </w:rPr>
        <w:t xml:space="preserve">Министерства имущественных и земельных отношений Карачаево-Черкесской Республики </w:t>
      </w:r>
    </w:p>
    <w:p w:rsidR="001C206A" w:rsidRPr="00B60C45" w:rsidRDefault="001C206A" w:rsidP="001C206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(наименование органа исполнительной власти, осуществляющего</w:t>
      </w:r>
    </w:p>
    <w:p w:rsidR="001C206A" w:rsidRDefault="001C206A" w:rsidP="001C206A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 w:val="0"/>
          <w:bCs/>
          <w:sz w:val="20"/>
        </w:rPr>
      </w:pPr>
      <w:r w:rsidRPr="00B60C45">
        <w:rPr>
          <w:rFonts w:ascii="Courier New" w:hAnsi="Courier New" w:cs="Courier New"/>
          <w:b w:val="0"/>
          <w:bCs/>
          <w:sz w:val="20"/>
        </w:rPr>
        <w:t xml:space="preserve">             региональный государственный контроль (надзор)</w:t>
      </w:r>
    </w:p>
    <w:p w:rsidR="001125CF" w:rsidRPr="001125CF" w:rsidRDefault="001125CF" w:rsidP="001125CF"/>
    <w:tbl>
      <w:tblPr>
        <w:tblpPr w:leftFromText="180" w:rightFromText="180" w:vertAnchor="text" w:horzAnchor="margin" w:tblpXSpec="center" w:tblpY="193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036"/>
        <w:gridCol w:w="1225"/>
        <w:gridCol w:w="1134"/>
        <w:gridCol w:w="1134"/>
        <w:gridCol w:w="1701"/>
        <w:gridCol w:w="1275"/>
        <w:gridCol w:w="1560"/>
      </w:tblGrid>
      <w:tr w:rsidR="009F3B7A" w:rsidRPr="00FF226F" w:rsidTr="00A504DE">
        <w:tc>
          <w:tcPr>
            <w:tcW w:w="629" w:type="dxa"/>
          </w:tcPr>
          <w:p w:rsidR="009F3B7A" w:rsidRPr="001125CF" w:rsidRDefault="009F3B7A" w:rsidP="009F3B7A">
            <w:pPr>
              <w:spacing w:after="1" w:line="280" w:lineRule="atLeast"/>
              <w:jc w:val="center"/>
            </w:pPr>
            <w:r w:rsidRPr="001125CF">
              <w:t>номер (индекс) показателя</w:t>
            </w:r>
          </w:p>
        </w:tc>
        <w:tc>
          <w:tcPr>
            <w:tcW w:w="3261" w:type="dxa"/>
            <w:gridSpan w:val="2"/>
          </w:tcPr>
          <w:p w:rsidR="009F3B7A" w:rsidRPr="001125CF" w:rsidRDefault="009F3B7A" w:rsidP="001125CF">
            <w:pPr>
              <w:autoSpaceDE w:val="0"/>
              <w:autoSpaceDN w:val="0"/>
              <w:adjustRightInd w:val="0"/>
              <w:jc w:val="center"/>
            </w:pPr>
            <w:r w:rsidRPr="001125CF">
              <w:t>Наименование показателя</w:t>
            </w:r>
          </w:p>
        </w:tc>
        <w:tc>
          <w:tcPr>
            <w:tcW w:w="1134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Единица измерения</w:t>
            </w:r>
          </w:p>
        </w:tc>
        <w:tc>
          <w:tcPr>
            <w:tcW w:w="1134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Целевое (индикативное) значение</w:t>
            </w:r>
          </w:p>
        </w:tc>
        <w:tc>
          <w:tcPr>
            <w:tcW w:w="1701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Фактическое (достигнутое) значение</w:t>
            </w:r>
          </w:p>
        </w:tc>
        <w:tc>
          <w:tcPr>
            <w:tcW w:w="1275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Балльная оценка</w:t>
            </w:r>
          </w:p>
        </w:tc>
        <w:tc>
          <w:tcPr>
            <w:tcW w:w="1560" w:type="dxa"/>
          </w:tcPr>
          <w:p w:rsidR="009F3B7A" w:rsidRPr="001125CF" w:rsidRDefault="009F3B7A" w:rsidP="009F3B7A">
            <w:pPr>
              <w:autoSpaceDE w:val="0"/>
              <w:autoSpaceDN w:val="0"/>
              <w:adjustRightInd w:val="0"/>
              <w:jc w:val="center"/>
            </w:pPr>
            <w:r w:rsidRPr="001125CF">
              <w:t>Справочная информация</w:t>
            </w: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  <w:jc w:val="center"/>
            </w:pPr>
            <w:r>
              <w:t>7</w:t>
            </w: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А.3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пользователей участков недр местного значения на территории Карачаево-Черкесской Республики, в отношении которых было выявлено несоблюдение и невыполнение требований международных договоров Российской Федерации, законодательства Российской Федерации и Карачаево-Черкесской Республики, норм, правил в области геологического изучения, рационального использования и охраны недр (процентов), от общего количества пользователей участков недр местного значения на территории Карачаево-Черкесской Республики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Default="009F3B7A" w:rsidP="00067DEA">
            <w:pPr>
              <w:spacing w:after="1" w:line="280" w:lineRule="atLeast"/>
              <w:jc w:val="center"/>
            </w:pPr>
            <w:r>
              <w:t>Процент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Не более 30 %</w:t>
            </w: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9,7%</w:t>
            </w:r>
          </w:p>
        </w:tc>
        <w:tc>
          <w:tcPr>
            <w:tcW w:w="1275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Б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Б.1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Эффективность контрольно-надзорной деятельности за соблюдением законодательства в области недропользования</w:t>
            </w:r>
          </w:p>
        </w:tc>
        <w:tc>
          <w:tcPr>
            <w:tcW w:w="1134" w:type="dxa"/>
          </w:tcPr>
          <w:p w:rsidR="009F3B7A" w:rsidRDefault="009F3B7A" w:rsidP="00067DEA">
            <w:pPr>
              <w:spacing w:after="1" w:line="280" w:lineRule="atLeast"/>
              <w:jc w:val="center"/>
            </w:pPr>
            <w:r>
              <w:t>Процент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90%</w:t>
            </w: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В.1.1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В.1.4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 xml:space="preserve">Сумма возмещенного материального ущерба, причинённого субъектами хозяйственной деятельности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(показатель отражает размер возмещенного материального ущерба, причиненного субъектами хозяйственной деятельности гражданам, организациям и государству, включает в себя в том числе сумму уплаченных (взысканных) административных штрафов от общей суммы наложенных административных штрафов)</w:t>
            </w:r>
          </w:p>
          <w:p w:rsidR="009F3B7A" w:rsidRPr="00FF226F" w:rsidRDefault="009F3B7A" w:rsidP="009F3B7A">
            <w:pPr>
              <w:spacing w:after="1" w:line="280" w:lineRule="atLeast"/>
              <w:ind w:hanging="396"/>
            </w:pP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тыс.</w:t>
            </w:r>
            <w:r w:rsidR="00067DEA">
              <w:t xml:space="preserve"> </w:t>
            </w:r>
            <w:r>
              <w:t>руб.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autoSpaceDE w:val="0"/>
              <w:autoSpaceDN w:val="0"/>
              <w:adjustRightInd w:val="0"/>
              <w:jc w:val="center"/>
            </w:pPr>
            <w:r w:rsidRPr="00FF226F">
              <w:t>Целевого значения не имеет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  <w:trHeight w:val="375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В.2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В.2.1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Количество проведенных мероприятий</w:t>
            </w:r>
          </w:p>
          <w:p w:rsidR="009F3B7A" w:rsidRPr="00FF226F" w:rsidRDefault="009F3B7A" w:rsidP="009F3B7A">
            <w:pPr>
              <w:spacing w:after="1" w:line="280" w:lineRule="atLeast"/>
            </w:pPr>
            <w:r w:rsidRPr="00FF226F">
              <w:t>(показатель учитывает суммарное количество мероприятий, проведенных в отношении субъектов контрольно-надзорной деятельности)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autoSpaceDE w:val="0"/>
              <w:autoSpaceDN w:val="0"/>
              <w:adjustRightInd w:val="0"/>
              <w:jc w:val="center"/>
            </w:pPr>
            <w:r w:rsidRPr="00FF226F">
              <w:t>Целевого значения не имеет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В.2.2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субъектов, у которых были устранены нарушения, выявленные в результате проведения контрольно-надзорных мероприятий</w:t>
            </w:r>
          </w:p>
          <w:p w:rsidR="009F3B7A" w:rsidRPr="00FF226F" w:rsidRDefault="009F3B7A" w:rsidP="009F3B7A">
            <w:pPr>
              <w:spacing w:after="1" w:line="280" w:lineRule="atLeast"/>
            </w:pPr>
            <w:r w:rsidRPr="00FF226F">
              <w:t>(показатель устанавливается в процентах от общего количества субъектов, в отношении которых были проведены контрольно-надзорные мероприятия)</w:t>
            </w:r>
          </w:p>
        </w:tc>
        <w:tc>
          <w:tcPr>
            <w:tcW w:w="1134" w:type="dxa"/>
          </w:tcPr>
          <w:p w:rsidR="009F3B7A" w:rsidRDefault="009F3B7A" w:rsidP="00067DEA">
            <w:pPr>
              <w:spacing w:after="1" w:line="280" w:lineRule="atLeast"/>
              <w:jc w:val="center"/>
            </w:pPr>
            <w:r>
              <w:t>Процент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067DEA">
            <w:pPr>
              <w:autoSpaceDE w:val="0"/>
              <w:autoSpaceDN w:val="0"/>
              <w:adjustRightInd w:val="0"/>
              <w:jc w:val="center"/>
            </w:pPr>
            <w:r w:rsidRPr="00FF226F">
              <w:t>Целевое знач</w:t>
            </w:r>
            <w:r>
              <w:t>ение показателя составляет 90</w:t>
            </w:r>
            <w:r w:rsidRPr="00FF226F">
              <w:t>%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50%</w:t>
            </w:r>
          </w:p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Общее количество проверок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</w:t>
            </w:r>
            <w:r w:rsidRPr="00FF226F">
              <w:lastRenderedPageBreak/>
              <w:t>1.2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 xml:space="preserve">Общее количество плановых  </w:t>
            </w:r>
            <w:r w:rsidRPr="00FF226F">
              <w:lastRenderedPageBreak/>
              <w:t>проверок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lastRenderedPageBreak/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</w:t>
            </w:r>
            <w:r w:rsidRPr="00FF226F">
              <w:lastRenderedPageBreak/>
              <w:t>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lastRenderedPageBreak/>
              <w:t>2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В.3.1.3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Общее количество внеплановых проверок по основаниям: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</w:t>
            </w:r>
            <w:r w:rsidR="00067DEA">
              <w:t>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_</w:t>
            </w:r>
          </w:p>
        </w:tc>
        <w:tc>
          <w:tcPr>
            <w:tcW w:w="1275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  <w:tc>
          <w:tcPr>
            <w:tcW w:w="1560" w:type="dxa"/>
          </w:tcPr>
          <w:p w:rsidR="009F3B7A" w:rsidRPr="00FF226F" w:rsidRDefault="009F3B7A" w:rsidP="00067DEA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по контролю за исполнением ранее выданных предписаний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 xml:space="preserve"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В.3.1.3.3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 xml:space="preserve">на основании распоряжения руководителя Министерства, изданного на основании требования прокурора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В.3.1.3.4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по иным основаниям, установленным законодательством Российской Федерации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67DEA" w:rsidP="00067DEA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В.3.1.4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документарных проверок в отношении объектов (субъектов)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В.3.1.5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проверок, на результаты которых поданы жалобы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>Целевого значения не имеет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В.3.1.6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>
              <w:t>Доля проверок</w:t>
            </w:r>
            <w:r w:rsidRPr="00FF226F">
              <w:t xml:space="preserve"> результаты которых были признаны недействительными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0%.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0%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r w:rsidRPr="00FF226F">
              <w:t>В.3.1.7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В.3.2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В.3.2.1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субъектов (объектов)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98,4%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В.3.2.2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</w:pPr>
            <w:r w:rsidRPr="00FF226F">
              <w:t>Доля подконтрольных субъектов, предоставивших  регулярную отчетность с соблюдением установленных  обязательных требований</w:t>
            </w:r>
          </w:p>
        </w:tc>
        <w:tc>
          <w:tcPr>
            <w:tcW w:w="1134" w:type="dxa"/>
          </w:tcPr>
          <w:p w:rsidR="00067DEA" w:rsidRDefault="00067DEA" w:rsidP="00067DEA">
            <w:pPr>
              <w:spacing w:after="1" w:line="280" w:lineRule="atLeast"/>
            </w:pPr>
            <w:r>
              <w:t>Процент</w:t>
            </w:r>
          </w:p>
          <w:p w:rsidR="009F3B7A" w:rsidRPr="00FF226F" w:rsidRDefault="00067DEA" w:rsidP="00067DEA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</w:t>
            </w:r>
            <w:r>
              <w:t>90%</w:t>
            </w:r>
            <w:r w:rsidRPr="00FF226F">
              <w:t xml:space="preserve">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В.3.4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В.3.4.1</w:t>
            </w:r>
          </w:p>
        </w:tc>
        <w:tc>
          <w:tcPr>
            <w:tcW w:w="3261" w:type="dxa"/>
            <w:gridSpan w:val="2"/>
          </w:tcPr>
          <w:p w:rsidR="009F3B7A" w:rsidRPr="00580264" w:rsidRDefault="009F3B7A" w:rsidP="009F3B7A">
            <w:pPr>
              <w:spacing w:line="245" w:lineRule="auto"/>
              <w:ind w:right="420"/>
            </w:pPr>
            <w:r w:rsidRPr="00580264"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 контроля»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В.3.4.</w:t>
            </w:r>
            <w:r>
              <w:t>2</w:t>
            </w:r>
          </w:p>
        </w:tc>
        <w:tc>
          <w:tcPr>
            <w:tcW w:w="3261" w:type="dxa"/>
            <w:gridSpan w:val="2"/>
          </w:tcPr>
          <w:p w:rsidR="009F3B7A" w:rsidRPr="00580264" w:rsidRDefault="009F3B7A" w:rsidP="009F3B7A">
            <w:pPr>
              <w:spacing w:line="245" w:lineRule="auto"/>
              <w:ind w:right="420"/>
            </w:pPr>
            <w:r w:rsidRPr="00580264">
              <w:t>Подготовка ежегодных докладов об осуществлении государственного контроля (надзора) и размещение в ГАС «Управление» и на официальном сайте Министерства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 w:rsidRPr="00FF226F">
              <w:t>В.3.4.</w:t>
            </w:r>
            <w:r>
              <w:t>3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3261" w:type="dxa"/>
            <w:gridSpan w:val="2"/>
          </w:tcPr>
          <w:p w:rsidR="009F3B7A" w:rsidRPr="00580264" w:rsidRDefault="009F3B7A" w:rsidP="009F3B7A">
            <w:pPr>
              <w:spacing w:line="245" w:lineRule="auto"/>
              <w:ind w:right="420"/>
            </w:pPr>
            <w:r w:rsidRPr="00580264">
              <w:t>Выдача предостережений юридическим лицам и индивидуальным 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DF1480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 w:rsidRPr="00FF226F">
              <w:t>В.3.4.</w:t>
            </w:r>
            <w:r>
              <w:t>4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autoSpaceDE w:val="0"/>
              <w:autoSpaceDN w:val="0"/>
              <w:adjustRightInd w:val="0"/>
              <w:jc w:val="both"/>
            </w:pPr>
            <w:r>
              <w:t>Выполнение плана проведения проверок (доля проведенных плановых проверок в процентах общего количества запланированных проверок);</w:t>
            </w:r>
          </w:p>
          <w:p w:rsidR="009F3B7A" w:rsidRPr="00580264" w:rsidRDefault="009F3B7A" w:rsidP="009F3B7A">
            <w:pPr>
              <w:spacing w:line="245" w:lineRule="auto"/>
              <w:ind w:right="420"/>
            </w:pPr>
          </w:p>
        </w:tc>
        <w:tc>
          <w:tcPr>
            <w:tcW w:w="1134" w:type="dxa"/>
          </w:tcPr>
          <w:p w:rsidR="009F3B7A" w:rsidRDefault="00DF1480" w:rsidP="00DF1480">
            <w:pPr>
              <w:spacing w:after="1" w:line="280" w:lineRule="atLeast"/>
            </w:pPr>
            <w:r>
              <w:t>П</w:t>
            </w:r>
            <w:r w:rsidR="009F3B7A">
              <w:t>роцент</w:t>
            </w:r>
          </w:p>
          <w:p w:rsidR="00DF1480" w:rsidRPr="00FF226F" w:rsidRDefault="00DF1480" w:rsidP="00DF1480">
            <w:pPr>
              <w:spacing w:after="1" w:line="280" w:lineRule="atLeast"/>
            </w:pPr>
            <w:r>
              <w:t>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100%</w:t>
            </w:r>
          </w:p>
        </w:tc>
        <w:tc>
          <w:tcPr>
            <w:tcW w:w="1275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В.3.6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В.3.6.1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протоколов об административных правонарушениях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2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2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постановлений о прекращении производства по делу  об административном правонарушении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3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постановлений о назначении административных наказаний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D5693B" w:rsidRPr="00D5693B" w:rsidRDefault="00D5693B" w:rsidP="009F3B7A">
            <w:pPr>
              <w:spacing w:after="1" w:line="280" w:lineRule="atLeast"/>
              <w:rPr>
                <w:sz w:val="20"/>
                <w:szCs w:val="20"/>
              </w:rPr>
            </w:pPr>
            <w:r w:rsidRPr="00D5693B">
              <w:rPr>
                <w:sz w:val="20"/>
                <w:szCs w:val="20"/>
              </w:rPr>
              <w:t>12 постановлений, из них:</w:t>
            </w:r>
          </w:p>
          <w:p w:rsidR="009F3B7A" w:rsidRPr="00D5693B" w:rsidRDefault="00D5693B" w:rsidP="009F3B7A">
            <w:pPr>
              <w:spacing w:after="1" w:line="280" w:lineRule="atLeast"/>
              <w:rPr>
                <w:sz w:val="20"/>
                <w:szCs w:val="20"/>
              </w:rPr>
            </w:pPr>
            <w:r w:rsidRPr="00D5693B">
              <w:rPr>
                <w:sz w:val="20"/>
                <w:szCs w:val="20"/>
              </w:rPr>
              <w:t xml:space="preserve">- 10 постановлений по проверкам, проведенным </w:t>
            </w:r>
            <w:r w:rsidR="00CC2849">
              <w:rPr>
                <w:sz w:val="20"/>
                <w:szCs w:val="20"/>
              </w:rPr>
              <w:t xml:space="preserve">Карачаево-Черкесской </w:t>
            </w:r>
            <w:r w:rsidRPr="00D5693B">
              <w:rPr>
                <w:sz w:val="20"/>
                <w:szCs w:val="20"/>
              </w:rPr>
              <w:t>межрайонной природоохранной прокуратур</w:t>
            </w:r>
            <w:r w:rsidR="00CC2849">
              <w:rPr>
                <w:sz w:val="20"/>
                <w:szCs w:val="20"/>
              </w:rPr>
              <w:t>ой;</w:t>
            </w:r>
          </w:p>
          <w:p w:rsidR="00D5693B" w:rsidRPr="00FF226F" w:rsidRDefault="00D5693B" w:rsidP="009F3B7A">
            <w:pPr>
              <w:spacing w:after="1" w:line="280" w:lineRule="atLeast"/>
            </w:pPr>
            <w:r w:rsidRPr="00D5693B">
              <w:rPr>
                <w:sz w:val="20"/>
                <w:szCs w:val="20"/>
              </w:rPr>
              <w:t>- 2 постановления по плановым проверкам Минимущества КЧР</w:t>
            </w: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4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Количество административных наказаний по которым административный штраф был заменен предупреждением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5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Общая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тыс.руб.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233  тыс.руб.</w:t>
            </w:r>
          </w:p>
          <w:p w:rsidR="009F3B7A" w:rsidRPr="00FF226F" w:rsidRDefault="009F3B7A" w:rsidP="00DF1480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6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Доля штрафов наложенных по результатам рассмотрения дел об административных правонарушениях</w:t>
            </w:r>
          </w:p>
        </w:tc>
        <w:tc>
          <w:tcPr>
            <w:tcW w:w="1134" w:type="dxa"/>
          </w:tcPr>
          <w:p w:rsidR="009F3B7A" w:rsidRPr="00FF226F" w:rsidRDefault="009F3B7A" w:rsidP="00DF1480">
            <w:pPr>
              <w:spacing w:after="1" w:line="280" w:lineRule="atLeast"/>
            </w:pPr>
            <w:r>
              <w:t>процент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DF1480" w:rsidP="00DF1480">
            <w:pPr>
              <w:spacing w:after="1" w:line="280" w:lineRule="atLeast"/>
              <w:jc w:val="center"/>
            </w:pPr>
            <w:r>
              <w:t>50%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7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>Общая сумма уплаченных (взысканных) штрафов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тыс.</w:t>
            </w:r>
            <w:r w:rsidR="00DF1480">
              <w:t xml:space="preserve"> </w:t>
            </w:r>
            <w:r>
              <w:t>руб.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Целевого 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DF1480" w:rsidRPr="00FF226F" w:rsidRDefault="00DF1480" w:rsidP="00DF1480">
            <w:pPr>
              <w:spacing w:after="1" w:line="280" w:lineRule="atLeast"/>
              <w:jc w:val="center"/>
            </w:pPr>
            <w:r>
              <w:t>233  тыс.руб.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r w:rsidRPr="00AC3202">
              <w:t>В.3.6.</w:t>
            </w:r>
            <w:r>
              <w:t>8</w:t>
            </w:r>
          </w:p>
        </w:tc>
        <w:tc>
          <w:tcPr>
            <w:tcW w:w="3261" w:type="dxa"/>
            <w:gridSpan w:val="2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</w:pPr>
            <w:r w:rsidRPr="008D21F0">
              <w:t xml:space="preserve">Отношение суммы взысканных штрафов к общей сумме наложенных </w:t>
            </w:r>
            <w:r w:rsidRPr="008D21F0">
              <w:lastRenderedPageBreak/>
              <w:t>административных штрафов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lastRenderedPageBreak/>
              <w:t>Процент (%)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lastRenderedPageBreak/>
              <w:t>100%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В.3.7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В.3.7.1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>Количество выданных лицензий за отчетный период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В.3.7.2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>Количество выданных разрешений за отчетный период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>
              <w:t>В.3.7.3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autoSpaceDE w:val="0"/>
              <w:autoSpaceDN w:val="0"/>
              <w:adjustRightInd w:val="0"/>
            </w:pPr>
            <w:r>
              <w:t xml:space="preserve">Доля рассмотренных заявлений и обращений юридических лиц, индивидуальных предпринимателей и граждан, органов государственной власти и органов местного самоуправления, средств массовой информации, поступающих в Министерство по вопросам недропользования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Процент (%)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FF226F">
              <w:t xml:space="preserve">Целевое значение – 100%. </w:t>
            </w:r>
          </w:p>
          <w:p w:rsidR="009F3B7A" w:rsidRPr="00FF226F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100%</w:t>
            </w:r>
          </w:p>
          <w:p w:rsidR="009F3B7A" w:rsidRPr="00FF226F" w:rsidRDefault="009F3B7A" w:rsidP="00075FD0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9F3B7A" w:rsidRPr="00FF226F" w:rsidRDefault="009F3B7A" w:rsidP="00075FD0">
            <w:pPr>
              <w:spacing w:after="1" w:line="280" w:lineRule="atLeast"/>
              <w:jc w:val="center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 xml:space="preserve">Количество выданных </w:t>
            </w:r>
            <w:r w:rsidRPr="00580264">
              <w:t>предостережений юридическим лицам и индивидуальным предпринимателям о недопустимости наруше</w:t>
            </w:r>
            <w:r>
              <w:t>н</w:t>
            </w:r>
            <w:r w:rsidRPr="00580264">
              <w:t>ий обязательных требований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Единица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П</w:t>
            </w:r>
            <w:r w:rsidRPr="00580264">
              <w:t>о мере поступления информации о г</w:t>
            </w:r>
            <w:r>
              <w:t>о</w:t>
            </w:r>
            <w:r w:rsidRPr="00580264">
              <w:t>товящихся нарушениях или о признаках нарушений обязательных требований</w:t>
            </w: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 w:rsidRPr="00580264">
              <w:t xml:space="preserve">Формирование перечней типовых нарушений обязательных требований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</w:t>
            </w:r>
            <w:r w:rsidRPr="00580264">
              <w:lastRenderedPageBreak/>
              <w:t>рства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lastRenderedPageBreak/>
              <w:t>В.3.8.</w:t>
            </w:r>
            <w:r>
              <w:t>3</w:t>
            </w:r>
          </w:p>
        </w:tc>
        <w:tc>
          <w:tcPr>
            <w:tcW w:w="3261" w:type="dxa"/>
            <w:gridSpan w:val="2"/>
          </w:tcPr>
          <w:p w:rsidR="009F3B7A" w:rsidRPr="00D825DD" w:rsidRDefault="009F3B7A" w:rsidP="009F3B7A">
            <w:pPr>
              <w:tabs>
                <w:tab w:val="left" w:pos="700"/>
              </w:tabs>
              <w:spacing w:line="200" w:lineRule="auto"/>
            </w:pPr>
            <w:r>
              <w:t>А</w:t>
            </w:r>
            <w:r w:rsidRPr="00D825DD">
              <w:t>ктуализация  и  размещение</w:t>
            </w:r>
          </w:p>
          <w:p w:rsidR="009F3B7A" w:rsidRPr="00D825DD" w:rsidRDefault="009F3B7A" w:rsidP="009F3B7A">
            <w:pPr>
              <w:spacing w:line="1" w:lineRule="exact"/>
            </w:pPr>
          </w:p>
          <w:p w:rsidR="009F3B7A" w:rsidRPr="00D825DD" w:rsidRDefault="009F3B7A" w:rsidP="009F3B7A">
            <w:pPr>
              <w:spacing w:line="200" w:lineRule="auto"/>
              <w:ind w:right="40"/>
            </w:pPr>
            <w:r w:rsidRPr="00D825DD">
              <w:t>Перечня и текстов нормативных правовых актов, содержащих</w:t>
            </w:r>
            <w:r>
              <w:t xml:space="preserve"> </w:t>
            </w:r>
            <w:r w:rsidRPr="00D825DD">
              <w:t>обязательные</w:t>
            </w:r>
          </w:p>
          <w:p w:rsidR="009F3B7A" w:rsidRPr="00D825DD" w:rsidRDefault="009F3B7A" w:rsidP="009F3B7A">
            <w:pPr>
              <w:spacing w:line="0" w:lineRule="atLeast"/>
              <w:ind w:right="40"/>
            </w:pPr>
            <w:r w:rsidRPr="00D825DD">
              <w:t>требования,</w:t>
            </w:r>
            <w:r>
              <w:t xml:space="preserve"> </w:t>
            </w:r>
            <w:r w:rsidRPr="00D825DD">
              <w:t>оценка соблюдения которых является предметом надзора</w:t>
            </w:r>
          </w:p>
          <w:p w:rsidR="009F3B7A" w:rsidRPr="0024325A" w:rsidRDefault="009F3B7A" w:rsidP="009F3B7A">
            <w:pPr>
              <w:spacing w:line="245" w:lineRule="auto"/>
              <w:ind w:right="4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4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tabs>
                <w:tab w:val="left" w:pos="700"/>
              </w:tabs>
              <w:spacing w:line="200" w:lineRule="auto"/>
            </w:pPr>
            <w:r w:rsidRPr="00CA0EE0">
              <w:t>Проведение разъяснительной работы с юридическими лицами и индивидуальными предпринимателями</w:t>
            </w:r>
            <w:r>
              <w:t xml:space="preserve"> и и</w:t>
            </w:r>
            <w:r w:rsidRPr="00CA0EE0">
              <w:t>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5</w:t>
            </w:r>
          </w:p>
        </w:tc>
        <w:tc>
          <w:tcPr>
            <w:tcW w:w="3261" w:type="dxa"/>
            <w:gridSpan w:val="2"/>
          </w:tcPr>
          <w:p w:rsidR="009F3B7A" w:rsidRPr="00CA0EE0" w:rsidRDefault="009F3B7A" w:rsidP="009F3B7A">
            <w:pPr>
              <w:tabs>
                <w:tab w:val="left" w:pos="700"/>
              </w:tabs>
              <w:spacing w:line="200" w:lineRule="auto"/>
            </w:pPr>
            <w:r w:rsidRPr="00565D56">
              <w:t>Проведение публичных обсуждений результатов правоприменительной практики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В.3.8.</w:t>
            </w:r>
            <w:r>
              <w:t>6</w:t>
            </w:r>
          </w:p>
        </w:tc>
        <w:tc>
          <w:tcPr>
            <w:tcW w:w="3261" w:type="dxa"/>
            <w:gridSpan w:val="2"/>
          </w:tcPr>
          <w:p w:rsidR="009F3B7A" w:rsidRPr="00565D56" w:rsidRDefault="009F3B7A" w:rsidP="009F3B7A">
            <w:pPr>
              <w:tabs>
                <w:tab w:val="left" w:pos="700"/>
              </w:tabs>
              <w:spacing w:line="200" w:lineRule="auto"/>
            </w:pPr>
            <w:r w:rsidRPr="00580264">
              <w:t xml:space="preserve">Регулярное обобщение практики осуществления регионального геологического надзора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Р</w:t>
            </w:r>
            <w:r w:rsidRPr="00580264">
              <w:t>азмещение на официальном сайте Министерства</w:t>
            </w:r>
          </w:p>
        </w:tc>
        <w:tc>
          <w:tcPr>
            <w:tcW w:w="1701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В.3.10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trHeight w:val="1392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В.3.10.1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 xml:space="preserve">Проверка выполнения условий пользования недрами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9F3B7A" w:rsidP="00075FD0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В.3.10.2</w:t>
            </w:r>
          </w:p>
        </w:tc>
        <w:tc>
          <w:tcPr>
            <w:tcW w:w="3261" w:type="dxa"/>
            <w:gridSpan w:val="2"/>
          </w:tcPr>
          <w:p w:rsidR="009F3B7A" w:rsidRPr="00FF226F" w:rsidRDefault="009F3B7A" w:rsidP="009F3B7A">
            <w:pPr>
              <w:spacing w:after="1" w:line="280" w:lineRule="atLeast"/>
            </w:pPr>
            <w:r>
              <w:t>Количество направленных Уведомлений недропользователям  о необходимости устранения допущенных нарушений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</w:t>
            </w:r>
            <w:r w:rsidR="00075FD0">
              <w:t>ца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rPr>
          <w:gridAfter w:val="6"/>
          <w:wAfter w:w="8029" w:type="dxa"/>
        </w:trPr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В.4</w:t>
            </w:r>
          </w:p>
        </w:tc>
        <w:tc>
          <w:tcPr>
            <w:tcW w:w="2036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 w:rsidRPr="00FF226F">
              <w:t>В.4.</w:t>
            </w:r>
            <w:r w:rsidRPr="00FF226F">
              <w:lastRenderedPageBreak/>
              <w:t>1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spacing w:beforeAutospacing="1"/>
            </w:pPr>
            <w:r>
              <w:lastRenderedPageBreak/>
              <w:t xml:space="preserve">количество штатных единиц, </w:t>
            </w:r>
            <w:r>
              <w:lastRenderedPageBreak/>
              <w:t xml:space="preserve">всего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lastRenderedPageBreak/>
              <w:t>Единицы</w:t>
            </w:r>
          </w:p>
        </w:tc>
        <w:tc>
          <w:tcPr>
            <w:tcW w:w="1134" w:type="dxa"/>
          </w:tcPr>
          <w:p w:rsidR="009F3B7A" w:rsidRPr="00FF226F" w:rsidRDefault="009F3B7A" w:rsidP="00075FD0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</w:t>
            </w:r>
            <w:r w:rsidRPr="008D21F0">
              <w:lastRenderedPageBreak/>
              <w:t xml:space="preserve">значения не имеет. </w:t>
            </w: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lastRenderedPageBreak/>
              <w:t>5</w:t>
            </w: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lastRenderedPageBreak/>
              <w:t>В.4.2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spacing w:beforeAutospacing="1"/>
            </w:pPr>
            <w:r>
              <w:t xml:space="preserve">количество штатных единиц, в должностные обязанности которых входит выполнение контрольно- надзорных функций 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  <w:r>
              <w:t>Единицы</w:t>
            </w:r>
          </w:p>
        </w:tc>
        <w:tc>
          <w:tcPr>
            <w:tcW w:w="1134" w:type="dxa"/>
          </w:tcPr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  <w:r w:rsidRPr="008D21F0">
              <w:t xml:space="preserve">Целевого значения не имеет. </w:t>
            </w:r>
          </w:p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701" w:type="dxa"/>
          </w:tcPr>
          <w:p w:rsidR="009F3B7A" w:rsidRPr="00FF226F" w:rsidRDefault="00075FD0" w:rsidP="00075FD0">
            <w:pPr>
              <w:spacing w:after="1" w:line="280" w:lineRule="atLeast"/>
              <w:jc w:val="center"/>
            </w:pPr>
            <w:r>
              <w:t>5</w:t>
            </w:r>
          </w:p>
          <w:p w:rsidR="009F3B7A" w:rsidRPr="00FF226F" w:rsidRDefault="009F3B7A" w:rsidP="00075FD0">
            <w:pPr>
              <w:spacing w:after="1" w:line="280" w:lineRule="atLeast"/>
              <w:jc w:val="center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  <w:tr w:rsidR="009F3B7A" w:rsidRPr="00FF226F" w:rsidTr="00A504DE">
        <w:tc>
          <w:tcPr>
            <w:tcW w:w="629" w:type="dxa"/>
          </w:tcPr>
          <w:p w:rsidR="009F3B7A" w:rsidRDefault="009F3B7A" w:rsidP="009F3B7A">
            <w:pPr>
              <w:spacing w:after="1" w:line="280" w:lineRule="atLeast"/>
            </w:pPr>
            <w:r>
              <w:t>В.4.3</w:t>
            </w:r>
          </w:p>
        </w:tc>
        <w:tc>
          <w:tcPr>
            <w:tcW w:w="3261" w:type="dxa"/>
            <w:gridSpan w:val="2"/>
          </w:tcPr>
          <w:p w:rsidR="009F3B7A" w:rsidRDefault="009F3B7A" w:rsidP="009F3B7A">
            <w:pPr>
              <w:spacing w:beforeAutospacing="1"/>
            </w:pPr>
            <w:r>
              <w:t>Объем финансовых средств, выделяемых в отчетном периоде из бюджета субъекта на выполнение контрольно- надзорных функций и на осуществление деятельности</w:t>
            </w:r>
          </w:p>
        </w:tc>
        <w:tc>
          <w:tcPr>
            <w:tcW w:w="1134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134" w:type="dxa"/>
          </w:tcPr>
          <w:p w:rsidR="009F3B7A" w:rsidRPr="008D21F0" w:rsidRDefault="00075FD0" w:rsidP="009F3B7A">
            <w:pPr>
              <w:autoSpaceDE w:val="0"/>
              <w:autoSpaceDN w:val="0"/>
              <w:adjustRightInd w:val="0"/>
              <w:jc w:val="both"/>
            </w:pPr>
            <w:r>
              <w:t>Целевого значения не имеет</w:t>
            </w:r>
          </w:p>
          <w:p w:rsidR="009F3B7A" w:rsidRPr="008D21F0" w:rsidRDefault="009F3B7A" w:rsidP="009F3B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</w:tcPr>
          <w:p w:rsidR="009F3B7A" w:rsidRPr="00FF226F" w:rsidRDefault="009F3B7A" w:rsidP="00075FD0">
            <w:pPr>
              <w:spacing w:after="1" w:line="280" w:lineRule="atLeast"/>
            </w:pPr>
          </w:p>
        </w:tc>
        <w:tc>
          <w:tcPr>
            <w:tcW w:w="1275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  <w:tc>
          <w:tcPr>
            <w:tcW w:w="1560" w:type="dxa"/>
          </w:tcPr>
          <w:p w:rsidR="009F3B7A" w:rsidRPr="00FF226F" w:rsidRDefault="009F3B7A" w:rsidP="009F3B7A">
            <w:pPr>
              <w:spacing w:after="1" w:line="280" w:lineRule="atLeast"/>
            </w:pPr>
          </w:p>
        </w:tc>
      </w:tr>
    </w:tbl>
    <w:p w:rsidR="00572FA4" w:rsidRPr="00B60C45" w:rsidRDefault="00572FA4" w:rsidP="00AB46E8">
      <w:pPr>
        <w:autoSpaceDE w:val="0"/>
        <w:autoSpaceDN w:val="0"/>
        <w:adjustRightInd w:val="0"/>
        <w:jc w:val="both"/>
        <w:rPr>
          <w:sz w:val="28"/>
          <w:szCs w:val="28"/>
        </w:rPr>
        <w:sectPr w:rsidR="00572FA4" w:rsidRPr="00B60C45" w:rsidSect="00A504DE">
          <w:pgSz w:w="11905" w:h="16838"/>
          <w:pgMar w:top="567" w:right="567" w:bottom="1134" w:left="1134" w:header="0" w:footer="0" w:gutter="0"/>
          <w:cols w:space="720"/>
          <w:noEndnote/>
          <w:docGrid w:linePitch="326"/>
        </w:sectPr>
      </w:pPr>
    </w:p>
    <w:p w:rsidR="001125CF" w:rsidRDefault="001125CF" w:rsidP="00152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25CF" w:rsidRPr="001125CF" w:rsidRDefault="001521D5" w:rsidP="001125CF">
      <w:pPr>
        <w:pStyle w:val="1"/>
        <w:keepNext w:val="0"/>
        <w:autoSpaceDE w:val="0"/>
        <w:autoSpaceDN w:val="0"/>
        <w:adjustRightInd w:val="0"/>
        <w:spacing w:line="276" w:lineRule="auto"/>
        <w:ind w:left="0" w:right="54" w:firstLine="284"/>
        <w:jc w:val="both"/>
        <w:rPr>
          <w:bCs/>
          <w:sz w:val="28"/>
          <w:szCs w:val="28"/>
          <w:u w:val="single"/>
        </w:rPr>
      </w:pPr>
      <w:r w:rsidRPr="002926FC">
        <w:rPr>
          <w:b w:val="0"/>
          <w:sz w:val="28"/>
          <w:szCs w:val="28"/>
          <w:u w:val="single"/>
        </w:rPr>
        <w:t xml:space="preserve">Итоговая оценка результативности и эффективности </w:t>
      </w:r>
      <w:r w:rsidR="001125CF" w:rsidRPr="002926FC">
        <w:rPr>
          <w:b w:val="0"/>
          <w:sz w:val="28"/>
          <w:szCs w:val="28"/>
          <w:u w:val="single"/>
        </w:rPr>
        <w:t xml:space="preserve">контрольно-надзорной деятельности </w:t>
      </w:r>
      <w:r w:rsidR="00023A53" w:rsidRPr="002926FC">
        <w:rPr>
          <w:b w:val="0"/>
          <w:sz w:val="28"/>
          <w:szCs w:val="28"/>
          <w:u w:val="single"/>
        </w:rPr>
        <w:t xml:space="preserve"> </w:t>
      </w:r>
      <w:r w:rsidR="001125CF" w:rsidRPr="002926FC">
        <w:rPr>
          <w:b w:val="0"/>
          <w:bCs/>
          <w:sz w:val="28"/>
          <w:szCs w:val="28"/>
          <w:u w:val="single"/>
        </w:rPr>
        <w:t>Министерства имущественных и земельных отношений Карачаево-Черкесской Республики</w:t>
      </w:r>
      <w:r w:rsidR="001125CF">
        <w:rPr>
          <w:bCs/>
          <w:sz w:val="28"/>
          <w:szCs w:val="28"/>
          <w:u w:val="single"/>
        </w:rPr>
        <w:t xml:space="preserve"> </w:t>
      </w:r>
      <w:r w:rsidR="002926FC">
        <w:rPr>
          <w:bCs/>
          <w:sz w:val="28"/>
          <w:szCs w:val="28"/>
          <w:u w:val="single"/>
        </w:rPr>
        <w:t xml:space="preserve">   </w:t>
      </w:r>
      <w:r w:rsidR="001125CF">
        <w:rPr>
          <w:bCs/>
          <w:sz w:val="28"/>
          <w:szCs w:val="28"/>
          <w:u w:val="single"/>
        </w:rPr>
        <w:t xml:space="preserve">– </w:t>
      </w:r>
      <w:r w:rsidR="002926FC">
        <w:rPr>
          <w:bCs/>
          <w:sz w:val="28"/>
          <w:szCs w:val="28"/>
          <w:u w:val="single"/>
        </w:rPr>
        <w:t xml:space="preserve">   </w:t>
      </w:r>
      <w:r w:rsidR="001125CF">
        <w:rPr>
          <w:bCs/>
          <w:sz w:val="28"/>
          <w:szCs w:val="28"/>
          <w:u w:val="single"/>
        </w:rPr>
        <w:t>90 %</w:t>
      </w:r>
      <w:r w:rsidR="002926FC">
        <w:rPr>
          <w:bCs/>
          <w:sz w:val="28"/>
          <w:szCs w:val="28"/>
          <w:u w:val="single"/>
        </w:rPr>
        <w:t>.</w:t>
      </w:r>
      <w:r w:rsidR="001125CF" w:rsidRPr="001125CF">
        <w:rPr>
          <w:bCs/>
          <w:sz w:val="28"/>
          <w:szCs w:val="28"/>
          <w:u w:val="single"/>
        </w:rPr>
        <w:t xml:space="preserve"> </w:t>
      </w:r>
    </w:p>
    <w:p w:rsidR="009128D4" w:rsidRPr="001125CF" w:rsidRDefault="001521D5" w:rsidP="009128D4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  <w:r w:rsidRPr="00B60C45">
        <w:rPr>
          <w:rFonts w:ascii="Courier New" w:hAnsi="Courier New" w:cs="Courier New"/>
          <w:b/>
          <w:bCs/>
          <w:sz w:val="20"/>
        </w:rPr>
        <w:t xml:space="preserve">   </w:t>
      </w:r>
    </w:p>
    <w:p w:rsidR="00355B13" w:rsidRDefault="00355B13" w:rsidP="00355B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9128D4">
        <w:rPr>
          <w:b/>
          <w:sz w:val="28"/>
          <w:szCs w:val="28"/>
          <w:u w:val="single"/>
        </w:rPr>
        <w:t>РАСЧЕТ</w:t>
      </w:r>
      <w:r>
        <w:rPr>
          <w:b/>
          <w:sz w:val="28"/>
          <w:szCs w:val="28"/>
          <w:u w:val="single"/>
        </w:rPr>
        <w:t xml:space="preserve">: </w:t>
      </w:r>
      <w:r w:rsidRPr="009128D4">
        <w:rPr>
          <w:b/>
          <w:sz w:val="28"/>
          <w:szCs w:val="28"/>
          <w:u w:val="single"/>
        </w:rPr>
        <w:t xml:space="preserve"> </w:t>
      </w:r>
    </w:p>
    <w:p w:rsidR="00355B13" w:rsidRDefault="002926FC" w:rsidP="00355B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36/40*100 = 90%,</w:t>
      </w:r>
    </w:p>
    <w:p w:rsidR="002926FC" w:rsidRDefault="002926FC" w:rsidP="00355B13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55B13">
        <w:rPr>
          <w:sz w:val="28"/>
          <w:szCs w:val="28"/>
        </w:rPr>
        <w:t>де</w:t>
      </w:r>
      <w:r>
        <w:rPr>
          <w:sz w:val="28"/>
          <w:szCs w:val="28"/>
        </w:rPr>
        <w:t>:</w:t>
      </w:r>
      <w:r w:rsidR="00355B13">
        <w:rPr>
          <w:sz w:val="28"/>
          <w:szCs w:val="28"/>
        </w:rPr>
        <w:t xml:space="preserve"> </w:t>
      </w:r>
    </w:p>
    <w:p w:rsidR="00355B13" w:rsidRPr="009128D4" w:rsidRDefault="00355B13" w:rsidP="002926FC">
      <w:pPr>
        <w:autoSpaceDE w:val="0"/>
        <w:autoSpaceDN w:val="0"/>
        <w:adjustRightInd w:val="0"/>
        <w:spacing w:before="280"/>
        <w:ind w:firstLine="540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36 -  </w:t>
      </w:r>
      <w:r w:rsidRPr="00B60C45">
        <w:rPr>
          <w:sz w:val="28"/>
          <w:szCs w:val="28"/>
        </w:rPr>
        <w:t>сумма балльных оценок показателей</w:t>
      </w:r>
      <w:r>
        <w:rPr>
          <w:sz w:val="28"/>
          <w:szCs w:val="28"/>
        </w:rPr>
        <w:t>;</w:t>
      </w:r>
    </w:p>
    <w:p w:rsidR="002926FC" w:rsidRDefault="00355B13" w:rsidP="002926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40 -  </w:t>
      </w:r>
      <w:r w:rsidRPr="00B60C45">
        <w:rPr>
          <w:sz w:val="28"/>
          <w:szCs w:val="28"/>
        </w:rPr>
        <w:t xml:space="preserve">значение максимально возможной итоговой балльной оценки, </w:t>
      </w:r>
    </w:p>
    <w:p w:rsidR="00355B13" w:rsidRDefault="00355B13" w:rsidP="002926FC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90% - </w:t>
      </w:r>
      <w:r w:rsidRPr="00B60C45">
        <w:rPr>
          <w:sz w:val="28"/>
          <w:szCs w:val="28"/>
        </w:rPr>
        <w:t>итоговая оценка результативности и эффективности ко</w:t>
      </w:r>
      <w:r>
        <w:rPr>
          <w:sz w:val="28"/>
          <w:szCs w:val="28"/>
        </w:rPr>
        <w:t>нтрольно-надзорной деятельности.</w:t>
      </w:r>
    </w:p>
    <w:p w:rsidR="00355B13" w:rsidRDefault="00355B13" w:rsidP="0015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21D5" w:rsidRPr="002926FC" w:rsidRDefault="00355B13" w:rsidP="001521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  <w:r w:rsidRPr="002926FC">
        <w:rPr>
          <w:sz w:val="28"/>
          <w:szCs w:val="28"/>
          <w:u w:val="single"/>
        </w:rPr>
        <w:t>Р</w:t>
      </w:r>
      <w:r w:rsidR="001521D5" w:rsidRPr="002926FC">
        <w:rPr>
          <w:sz w:val="28"/>
          <w:szCs w:val="28"/>
          <w:u w:val="single"/>
        </w:rPr>
        <w:t>ассчитанная по формуле:</w:t>
      </w:r>
    </w:p>
    <w:p w:rsidR="001521D5" w:rsidRPr="00B60C45" w:rsidRDefault="001521D5" w:rsidP="001521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21D5" w:rsidRPr="00B60C45" w:rsidRDefault="000D3CD6" w:rsidP="001521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3CD6"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15pt;height:28.3pt">
            <v:imagedata r:id="rId8" o:title=""/>
          </v:shape>
        </w:pict>
      </w:r>
      <w:r w:rsidR="001521D5" w:rsidRPr="00B60C45">
        <w:rPr>
          <w:sz w:val="28"/>
          <w:szCs w:val="28"/>
        </w:rPr>
        <w:t>,</w:t>
      </w:r>
    </w:p>
    <w:p w:rsidR="001521D5" w:rsidRPr="00B60C45" w:rsidRDefault="001521D5" w:rsidP="0015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0C45">
        <w:rPr>
          <w:sz w:val="28"/>
          <w:szCs w:val="28"/>
        </w:rPr>
        <w:t>где:</w:t>
      </w:r>
    </w:p>
    <w:p w:rsidR="001521D5" w:rsidRPr="00B60C45" w:rsidRDefault="000D3CD6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D3CD6">
        <w:rPr>
          <w:position w:val="-5"/>
          <w:sz w:val="28"/>
          <w:szCs w:val="28"/>
        </w:rPr>
        <w:pict>
          <v:shape id="_x0000_i1026" type="#_x0000_t75" style="width:46.7pt;height:20.55pt">
            <v:imagedata r:id="rId9" o:title=""/>
          </v:shape>
        </w:pict>
      </w:r>
      <w:r w:rsidR="001521D5" w:rsidRPr="00B60C45">
        <w:rPr>
          <w:sz w:val="28"/>
          <w:szCs w:val="28"/>
        </w:rPr>
        <w:t xml:space="preserve"> - итоговая оценка результативности и эффективности контрольно-надзорной деятельности;</w:t>
      </w:r>
    </w:p>
    <w:p w:rsidR="009128D4" w:rsidRDefault="000D3CD6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D3CD6">
        <w:rPr>
          <w:position w:val="-14"/>
          <w:sz w:val="28"/>
          <w:szCs w:val="28"/>
        </w:rPr>
        <w:pict>
          <v:shape id="_x0000_i1027" type="#_x0000_t75" style="width:48.85pt;height:28.3pt">
            <v:imagedata r:id="rId10" o:title=""/>
          </v:shape>
        </w:pict>
      </w:r>
      <w:r w:rsidR="001521D5" w:rsidRPr="00B60C45">
        <w:rPr>
          <w:sz w:val="28"/>
          <w:szCs w:val="28"/>
        </w:rPr>
        <w:t xml:space="preserve"> - сумма балльных оценок показателей</w:t>
      </w:r>
      <w:r w:rsidR="009128D4">
        <w:rPr>
          <w:sz w:val="28"/>
          <w:szCs w:val="28"/>
        </w:rPr>
        <w:t>;</w:t>
      </w:r>
    </w:p>
    <w:p w:rsidR="009128D4" w:rsidRDefault="000D3CD6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0D3CD6">
        <w:rPr>
          <w:position w:val="-5"/>
          <w:sz w:val="28"/>
          <w:szCs w:val="28"/>
        </w:rPr>
        <w:pict>
          <v:shape id="_x0000_i1028" type="#_x0000_t75" style="width:48.85pt;height:20.55pt">
            <v:imagedata r:id="rId11" o:title=""/>
          </v:shape>
        </w:pict>
      </w:r>
      <w:r w:rsidR="001521D5" w:rsidRPr="00B60C45">
        <w:rPr>
          <w:sz w:val="28"/>
          <w:szCs w:val="28"/>
        </w:rPr>
        <w:t xml:space="preserve"> - значение максимально воз</w:t>
      </w:r>
      <w:r w:rsidR="00355B13">
        <w:rPr>
          <w:sz w:val="28"/>
          <w:szCs w:val="28"/>
        </w:rPr>
        <w:t>можной итоговой балльной оценки.</w:t>
      </w:r>
      <w:r w:rsidR="001521D5" w:rsidRPr="00B60C45">
        <w:rPr>
          <w:sz w:val="28"/>
          <w:szCs w:val="28"/>
        </w:rPr>
        <w:t xml:space="preserve"> </w:t>
      </w:r>
    </w:p>
    <w:p w:rsidR="009128D4" w:rsidRDefault="009128D4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355B13" w:rsidRDefault="00355B13" w:rsidP="001521D5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</w:p>
    <w:p w:rsidR="00AB46E8" w:rsidRPr="00B60C45" w:rsidRDefault="00AB46E8" w:rsidP="0044185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B46E8" w:rsidRPr="00B60C45" w:rsidSect="00AB46E8">
      <w:pgSz w:w="11906" w:h="16838"/>
      <w:pgMar w:top="567" w:right="56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CC" w:rsidRDefault="00C941CC">
      <w:r>
        <w:separator/>
      </w:r>
    </w:p>
  </w:endnote>
  <w:endnote w:type="continuationSeparator" w:id="1">
    <w:p w:rsidR="00C941CC" w:rsidRDefault="00C94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CC" w:rsidRDefault="00C941CC">
      <w:r>
        <w:separator/>
      </w:r>
    </w:p>
  </w:footnote>
  <w:footnote w:type="continuationSeparator" w:id="1">
    <w:p w:rsidR="00C941CC" w:rsidRDefault="00C94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2229"/>
    <w:multiLevelType w:val="multilevel"/>
    <w:tmpl w:val="166C79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2088" w:hanging="13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30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2" w:hanging="130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3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abstractNum w:abstractNumId="1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637E0B"/>
    <w:multiLevelType w:val="hybridMultilevel"/>
    <w:tmpl w:val="99526C0A"/>
    <w:lvl w:ilvl="0" w:tplc="F78094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2D0C65"/>
    <w:multiLevelType w:val="hybridMultilevel"/>
    <w:tmpl w:val="7C34698A"/>
    <w:lvl w:ilvl="0" w:tplc="FA6C880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FA0196"/>
    <w:multiLevelType w:val="hybridMultilevel"/>
    <w:tmpl w:val="A584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stylePaneFormatFilter w:val="3F01"/>
  <w:doNotTrackMoves/>
  <w:defaultTabStop w:val="708"/>
  <w:drawingGridHorizontalSpacing w:val="120"/>
  <w:drawingGridVerticalSpacing w:val="1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3A53"/>
    <w:rsid w:val="00025CB5"/>
    <w:rsid w:val="000278AA"/>
    <w:rsid w:val="00036178"/>
    <w:rsid w:val="000362EE"/>
    <w:rsid w:val="00036A76"/>
    <w:rsid w:val="00043CB5"/>
    <w:rsid w:val="000447A1"/>
    <w:rsid w:val="0004548C"/>
    <w:rsid w:val="00051232"/>
    <w:rsid w:val="00051312"/>
    <w:rsid w:val="0005582E"/>
    <w:rsid w:val="000622EC"/>
    <w:rsid w:val="00062E22"/>
    <w:rsid w:val="00062F17"/>
    <w:rsid w:val="0006539C"/>
    <w:rsid w:val="000666D0"/>
    <w:rsid w:val="00067108"/>
    <w:rsid w:val="00067DEA"/>
    <w:rsid w:val="00070488"/>
    <w:rsid w:val="000735A0"/>
    <w:rsid w:val="000737D1"/>
    <w:rsid w:val="00075FD0"/>
    <w:rsid w:val="0007754B"/>
    <w:rsid w:val="000803FE"/>
    <w:rsid w:val="000854D0"/>
    <w:rsid w:val="00086F45"/>
    <w:rsid w:val="00093DA4"/>
    <w:rsid w:val="000A327B"/>
    <w:rsid w:val="000A6C63"/>
    <w:rsid w:val="000B1F80"/>
    <w:rsid w:val="000B3E84"/>
    <w:rsid w:val="000B63ED"/>
    <w:rsid w:val="000B7CB9"/>
    <w:rsid w:val="000C2A34"/>
    <w:rsid w:val="000C3F7E"/>
    <w:rsid w:val="000C7291"/>
    <w:rsid w:val="000C7C19"/>
    <w:rsid w:val="000D0411"/>
    <w:rsid w:val="000D0984"/>
    <w:rsid w:val="000D3CD6"/>
    <w:rsid w:val="000D6823"/>
    <w:rsid w:val="000E1652"/>
    <w:rsid w:val="000E5639"/>
    <w:rsid w:val="000E571B"/>
    <w:rsid w:val="000E57F8"/>
    <w:rsid w:val="000F0364"/>
    <w:rsid w:val="001125CF"/>
    <w:rsid w:val="001132FD"/>
    <w:rsid w:val="00114BE7"/>
    <w:rsid w:val="00121629"/>
    <w:rsid w:val="0012222D"/>
    <w:rsid w:val="0012651E"/>
    <w:rsid w:val="001319CD"/>
    <w:rsid w:val="00131A8D"/>
    <w:rsid w:val="00131C7F"/>
    <w:rsid w:val="00134567"/>
    <w:rsid w:val="0014357A"/>
    <w:rsid w:val="001458E1"/>
    <w:rsid w:val="00145B32"/>
    <w:rsid w:val="00150265"/>
    <w:rsid w:val="00150F71"/>
    <w:rsid w:val="001521D5"/>
    <w:rsid w:val="00165D75"/>
    <w:rsid w:val="00171AF7"/>
    <w:rsid w:val="00171E45"/>
    <w:rsid w:val="001853B8"/>
    <w:rsid w:val="001854A9"/>
    <w:rsid w:val="001900EF"/>
    <w:rsid w:val="001918A2"/>
    <w:rsid w:val="00196BEC"/>
    <w:rsid w:val="001A6487"/>
    <w:rsid w:val="001B6ED2"/>
    <w:rsid w:val="001C10DA"/>
    <w:rsid w:val="001C206A"/>
    <w:rsid w:val="001C2F21"/>
    <w:rsid w:val="001C381F"/>
    <w:rsid w:val="001C4800"/>
    <w:rsid w:val="001D40FC"/>
    <w:rsid w:val="001E36BC"/>
    <w:rsid w:val="001E4E2A"/>
    <w:rsid w:val="002067DE"/>
    <w:rsid w:val="00212AA6"/>
    <w:rsid w:val="00213140"/>
    <w:rsid w:val="00215BC3"/>
    <w:rsid w:val="0022084E"/>
    <w:rsid w:val="002218E1"/>
    <w:rsid w:val="00225227"/>
    <w:rsid w:val="00241A01"/>
    <w:rsid w:val="00254ABF"/>
    <w:rsid w:val="00271AE5"/>
    <w:rsid w:val="00275839"/>
    <w:rsid w:val="00283898"/>
    <w:rsid w:val="002909A3"/>
    <w:rsid w:val="002926FC"/>
    <w:rsid w:val="00296E97"/>
    <w:rsid w:val="002A1D91"/>
    <w:rsid w:val="002A31AF"/>
    <w:rsid w:val="002A52D0"/>
    <w:rsid w:val="002A5B65"/>
    <w:rsid w:val="002B383F"/>
    <w:rsid w:val="002B521D"/>
    <w:rsid w:val="002B6916"/>
    <w:rsid w:val="002C3BA4"/>
    <w:rsid w:val="002D3A61"/>
    <w:rsid w:val="002E1060"/>
    <w:rsid w:val="002E162E"/>
    <w:rsid w:val="002E4D23"/>
    <w:rsid w:val="002F5D26"/>
    <w:rsid w:val="003020AA"/>
    <w:rsid w:val="003027EF"/>
    <w:rsid w:val="003054A0"/>
    <w:rsid w:val="003105EC"/>
    <w:rsid w:val="0031189F"/>
    <w:rsid w:val="00313637"/>
    <w:rsid w:val="00313C2F"/>
    <w:rsid w:val="00315360"/>
    <w:rsid w:val="00321795"/>
    <w:rsid w:val="00321EFD"/>
    <w:rsid w:val="003246D6"/>
    <w:rsid w:val="00327A5D"/>
    <w:rsid w:val="00327DE6"/>
    <w:rsid w:val="00330720"/>
    <w:rsid w:val="0033083E"/>
    <w:rsid w:val="003349D7"/>
    <w:rsid w:val="003358CB"/>
    <w:rsid w:val="00344BB0"/>
    <w:rsid w:val="00345B90"/>
    <w:rsid w:val="00347954"/>
    <w:rsid w:val="00355656"/>
    <w:rsid w:val="00355B13"/>
    <w:rsid w:val="00362AF4"/>
    <w:rsid w:val="00363704"/>
    <w:rsid w:val="0036587A"/>
    <w:rsid w:val="00370CF2"/>
    <w:rsid w:val="00372800"/>
    <w:rsid w:val="00373F56"/>
    <w:rsid w:val="00381BAC"/>
    <w:rsid w:val="003836F4"/>
    <w:rsid w:val="00384A0A"/>
    <w:rsid w:val="00393C35"/>
    <w:rsid w:val="003945D8"/>
    <w:rsid w:val="00396EEE"/>
    <w:rsid w:val="003A1E8B"/>
    <w:rsid w:val="003B2BDF"/>
    <w:rsid w:val="003B7F09"/>
    <w:rsid w:val="003C250D"/>
    <w:rsid w:val="003C7174"/>
    <w:rsid w:val="003D25DC"/>
    <w:rsid w:val="003E63DD"/>
    <w:rsid w:val="003E74A4"/>
    <w:rsid w:val="003F3BA1"/>
    <w:rsid w:val="003F3BF8"/>
    <w:rsid w:val="00400D77"/>
    <w:rsid w:val="00406723"/>
    <w:rsid w:val="00412AE8"/>
    <w:rsid w:val="00425764"/>
    <w:rsid w:val="004270CE"/>
    <w:rsid w:val="00441851"/>
    <w:rsid w:val="00443BD9"/>
    <w:rsid w:val="004466B3"/>
    <w:rsid w:val="004500E6"/>
    <w:rsid w:val="00451430"/>
    <w:rsid w:val="00454379"/>
    <w:rsid w:val="00457DE9"/>
    <w:rsid w:val="00457EA3"/>
    <w:rsid w:val="00460E0D"/>
    <w:rsid w:val="004623DE"/>
    <w:rsid w:val="00462ADF"/>
    <w:rsid w:val="00463647"/>
    <w:rsid w:val="00464D47"/>
    <w:rsid w:val="00471B76"/>
    <w:rsid w:val="004735DB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501A6E"/>
    <w:rsid w:val="00503DAC"/>
    <w:rsid w:val="00504CF0"/>
    <w:rsid w:val="00507033"/>
    <w:rsid w:val="005073AE"/>
    <w:rsid w:val="00512017"/>
    <w:rsid w:val="00515972"/>
    <w:rsid w:val="005307F4"/>
    <w:rsid w:val="0053106A"/>
    <w:rsid w:val="0053566E"/>
    <w:rsid w:val="00551DC5"/>
    <w:rsid w:val="005562E6"/>
    <w:rsid w:val="005571ED"/>
    <w:rsid w:val="005609A0"/>
    <w:rsid w:val="00562A9A"/>
    <w:rsid w:val="00572FA4"/>
    <w:rsid w:val="005910BC"/>
    <w:rsid w:val="00595830"/>
    <w:rsid w:val="00596D14"/>
    <w:rsid w:val="005A249C"/>
    <w:rsid w:val="005A509F"/>
    <w:rsid w:val="005B49E0"/>
    <w:rsid w:val="005B79AC"/>
    <w:rsid w:val="005C2041"/>
    <w:rsid w:val="005C4BA2"/>
    <w:rsid w:val="005C7587"/>
    <w:rsid w:val="005F676E"/>
    <w:rsid w:val="005F74A3"/>
    <w:rsid w:val="006025D8"/>
    <w:rsid w:val="006039AF"/>
    <w:rsid w:val="00603E93"/>
    <w:rsid w:val="006119BD"/>
    <w:rsid w:val="00623E95"/>
    <w:rsid w:val="006256F9"/>
    <w:rsid w:val="00625E39"/>
    <w:rsid w:val="0062685A"/>
    <w:rsid w:val="00637346"/>
    <w:rsid w:val="0064155D"/>
    <w:rsid w:val="00646A1A"/>
    <w:rsid w:val="00655F38"/>
    <w:rsid w:val="00656052"/>
    <w:rsid w:val="0065605C"/>
    <w:rsid w:val="00656F06"/>
    <w:rsid w:val="00660AE3"/>
    <w:rsid w:val="0066782E"/>
    <w:rsid w:val="006678FE"/>
    <w:rsid w:val="00671D09"/>
    <w:rsid w:val="006764C2"/>
    <w:rsid w:val="0068381F"/>
    <w:rsid w:val="006875BC"/>
    <w:rsid w:val="00691720"/>
    <w:rsid w:val="006942B2"/>
    <w:rsid w:val="0069593E"/>
    <w:rsid w:val="006B6928"/>
    <w:rsid w:val="006C0180"/>
    <w:rsid w:val="006C1CC3"/>
    <w:rsid w:val="006C7573"/>
    <w:rsid w:val="006D10EA"/>
    <w:rsid w:val="006D5CBA"/>
    <w:rsid w:val="006E0C89"/>
    <w:rsid w:val="006E2047"/>
    <w:rsid w:val="006E378B"/>
    <w:rsid w:val="006E782E"/>
    <w:rsid w:val="006F192B"/>
    <w:rsid w:val="006F308E"/>
    <w:rsid w:val="006F4FCA"/>
    <w:rsid w:val="0070566B"/>
    <w:rsid w:val="007072AB"/>
    <w:rsid w:val="007167E9"/>
    <w:rsid w:val="00723A07"/>
    <w:rsid w:val="00724432"/>
    <w:rsid w:val="00731F35"/>
    <w:rsid w:val="00736593"/>
    <w:rsid w:val="00742196"/>
    <w:rsid w:val="00743C4C"/>
    <w:rsid w:val="00744205"/>
    <w:rsid w:val="00747C17"/>
    <w:rsid w:val="00751A96"/>
    <w:rsid w:val="00757E0E"/>
    <w:rsid w:val="007610DD"/>
    <w:rsid w:val="0079341F"/>
    <w:rsid w:val="0079383D"/>
    <w:rsid w:val="00797CF6"/>
    <w:rsid w:val="007A0321"/>
    <w:rsid w:val="007A165D"/>
    <w:rsid w:val="007A4D39"/>
    <w:rsid w:val="007B3E29"/>
    <w:rsid w:val="007B4741"/>
    <w:rsid w:val="007B6C7A"/>
    <w:rsid w:val="007C00B9"/>
    <w:rsid w:val="007C0EAF"/>
    <w:rsid w:val="007C4A56"/>
    <w:rsid w:val="007F0EA0"/>
    <w:rsid w:val="00800136"/>
    <w:rsid w:val="00801381"/>
    <w:rsid w:val="00801EE8"/>
    <w:rsid w:val="008050DD"/>
    <w:rsid w:val="00805A47"/>
    <w:rsid w:val="00806D7F"/>
    <w:rsid w:val="00807512"/>
    <w:rsid w:val="00807B13"/>
    <w:rsid w:val="00811AAB"/>
    <w:rsid w:val="00811E0A"/>
    <w:rsid w:val="0081306B"/>
    <w:rsid w:val="008141CE"/>
    <w:rsid w:val="008143BF"/>
    <w:rsid w:val="008172E1"/>
    <w:rsid w:val="008201F2"/>
    <w:rsid w:val="00822C15"/>
    <w:rsid w:val="0083220E"/>
    <w:rsid w:val="008330B7"/>
    <w:rsid w:val="008369AB"/>
    <w:rsid w:val="00843C02"/>
    <w:rsid w:val="00843CC6"/>
    <w:rsid w:val="00854816"/>
    <w:rsid w:val="008555BE"/>
    <w:rsid w:val="00862965"/>
    <w:rsid w:val="00863424"/>
    <w:rsid w:val="00864375"/>
    <w:rsid w:val="008716E8"/>
    <w:rsid w:val="00872D43"/>
    <w:rsid w:val="008768C7"/>
    <w:rsid w:val="00881E3E"/>
    <w:rsid w:val="0088462B"/>
    <w:rsid w:val="0089135A"/>
    <w:rsid w:val="00893139"/>
    <w:rsid w:val="008A220E"/>
    <w:rsid w:val="008A3791"/>
    <w:rsid w:val="008A70D1"/>
    <w:rsid w:val="008B3E93"/>
    <w:rsid w:val="008B6B5C"/>
    <w:rsid w:val="008B7D73"/>
    <w:rsid w:val="008C590A"/>
    <w:rsid w:val="008C7FA5"/>
    <w:rsid w:val="008D0901"/>
    <w:rsid w:val="008D21F0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28D4"/>
    <w:rsid w:val="00913EF5"/>
    <w:rsid w:val="00915225"/>
    <w:rsid w:val="00922BD7"/>
    <w:rsid w:val="00932773"/>
    <w:rsid w:val="00942AC6"/>
    <w:rsid w:val="00946307"/>
    <w:rsid w:val="009478A3"/>
    <w:rsid w:val="009500DD"/>
    <w:rsid w:val="00956A19"/>
    <w:rsid w:val="00960584"/>
    <w:rsid w:val="0096403F"/>
    <w:rsid w:val="00965447"/>
    <w:rsid w:val="00971378"/>
    <w:rsid w:val="00974D11"/>
    <w:rsid w:val="00974E93"/>
    <w:rsid w:val="00980B16"/>
    <w:rsid w:val="009823FA"/>
    <w:rsid w:val="00983698"/>
    <w:rsid w:val="009907A7"/>
    <w:rsid w:val="00990A76"/>
    <w:rsid w:val="009A0FDB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2FB3"/>
    <w:rsid w:val="009F3B7A"/>
    <w:rsid w:val="009F6B25"/>
    <w:rsid w:val="009F728F"/>
    <w:rsid w:val="00A05394"/>
    <w:rsid w:val="00A10329"/>
    <w:rsid w:val="00A12D6E"/>
    <w:rsid w:val="00A16663"/>
    <w:rsid w:val="00A2547C"/>
    <w:rsid w:val="00A26C97"/>
    <w:rsid w:val="00A504DE"/>
    <w:rsid w:val="00A62511"/>
    <w:rsid w:val="00A717CA"/>
    <w:rsid w:val="00A74CD1"/>
    <w:rsid w:val="00A80932"/>
    <w:rsid w:val="00A827CC"/>
    <w:rsid w:val="00A82B8B"/>
    <w:rsid w:val="00A84BAF"/>
    <w:rsid w:val="00A84C5E"/>
    <w:rsid w:val="00A92E05"/>
    <w:rsid w:val="00A96012"/>
    <w:rsid w:val="00A96D1F"/>
    <w:rsid w:val="00AA5F51"/>
    <w:rsid w:val="00AB2D72"/>
    <w:rsid w:val="00AB4089"/>
    <w:rsid w:val="00AB46E8"/>
    <w:rsid w:val="00AB4CF0"/>
    <w:rsid w:val="00AC221B"/>
    <w:rsid w:val="00AC6499"/>
    <w:rsid w:val="00AE5581"/>
    <w:rsid w:val="00AF41AF"/>
    <w:rsid w:val="00B01060"/>
    <w:rsid w:val="00B05F05"/>
    <w:rsid w:val="00B06D3B"/>
    <w:rsid w:val="00B10070"/>
    <w:rsid w:val="00B1477E"/>
    <w:rsid w:val="00B17BEA"/>
    <w:rsid w:val="00B21E71"/>
    <w:rsid w:val="00B2336A"/>
    <w:rsid w:val="00B35486"/>
    <w:rsid w:val="00B37482"/>
    <w:rsid w:val="00B37922"/>
    <w:rsid w:val="00B40223"/>
    <w:rsid w:val="00B521D2"/>
    <w:rsid w:val="00B56562"/>
    <w:rsid w:val="00B57674"/>
    <w:rsid w:val="00B60C45"/>
    <w:rsid w:val="00B60D98"/>
    <w:rsid w:val="00B63E0F"/>
    <w:rsid w:val="00B67D13"/>
    <w:rsid w:val="00B73D5C"/>
    <w:rsid w:val="00B85CED"/>
    <w:rsid w:val="00B860B1"/>
    <w:rsid w:val="00B928C6"/>
    <w:rsid w:val="00B94B5D"/>
    <w:rsid w:val="00B96EF7"/>
    <w:rsid w:val="00BA29DD"/>
    <w:rsid w:val="00BA4382"/>
    <w:rsid w:val="00BC40F4"/>
    <w:rsid w:val="00BC467E"/>
    <w:rsid w:val="00BD359F"/>
    <w:rsid w:val="00BE06AF"/>
    <w:rsid w:val="00BE0DB3"/>
    <w:rsid w:val="00BE202F"/>
    <w:rsid w:val="00BE5A52"/>
    <w:rsid w:val="00BE66B0"/>
    <w:rsid w:val="00BF070C"/>
    <w:rsid w:val="00BF3676"/>
    <w:rsid w:val="00BF7AA9"/>
    <w:rsid w:val="00C00143"/>
    <w:rsid w:val="00C01FD1"/>
    <w:rsid w:val="00C03224"/>
    <w:rsid w:val="00C05D24"/>
    <w:rsid w:val="00C11DCD"/>
    <w:rsid w:val="00C1738E"/>
    <w:rsid w:val="00C1739C"/>
    <w:rsid w:val="00C21D48"/>
    <w:rsid w:val="00C228EA"/>
    <w:rsid w:val="00C329EB"/>
    <w:rsid w:val="00C42A61"/>
    <w:rsid w:val="00C459F1"/>
    <w:rsid w:val="00C539E4"/>
    <w:rsid w:val="00C5476A"/>
    <w:rsid w:val="00C54A98"/>
    <w:rsid w:val="00C54B7B"/>
    <w:rsid w:val="00C64D43"/>
    <w:rsid w:val="00C67117"/>
    <w:rsid w:val="00C67188"/>
    <w:rsid w:val="00C7328C"/>
    <w:rsid w:val="00C73B28"/>
    <w:rsid w:val="00C765B3"/>
    <w:rsid w:val="00C77288"/>
    <w:rsid w:val="00C776B6"/>
    <w:rsid w:val="00C77AA5"/>
    <w:rsid w:val="00C81A84"/>
    <w:rsid w:val="00C842A0"/>
    <w:rsid w:val="00C84F3F"/>
    <w:rsid w:val="00C941CC"/>
    <w:rsid w:val="00C94626"/>
    <w:rsid w:val="00C946F3"/>
    <w:rsid w:val="00C9721B"/>
    <w:rsid w:val="00C97886"/>
    <w:rsid w:val="00CA157A"/>
    <w:rsid w:val="00CA5AEE"/>
    <w:rsid w:val="00CB501F"/>
    <w:rsid w:val="00CB5D77"/>
    <w:rsid w:val="00CC0858"/>
    <w:rsid w:val="00CC1672"/>
    <w:rsid w:val="00CC2849"/>
    <w:rsid w:val="00CC3138"/>
    <w:rsid w:val="00CC49AD"/>
    <w:rsid w:val="00CC7E4B"/>
    <w:rsid w:val="00CD70DF"/>
    <w:rsid w:val="00CE0E58"/>
    <w:rsid w:val="00CE1D7A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06090"/>
    <w:rsid w:val="00D12D56"/>
    <w:rsid w:val="00D16649"/>
    <w:rsid w:val="00D246F3"/>
    <w:rsid w:val="00D303B5"/>
    <w:rsid w:val="00D347CA"/>
    <w:rsid w:val="00D34CBD"/>
    <w:rsid w:val="00D45F58"/>
    <w:rsid w:val="00D50BE3"/>
    <w:rsid w:val="00D51BD1"/>
    <w:rsid w:val="00D53D2A"/>
    <w:rsid w:val="00D55427"/>
    <w:rsid w:val="00D5693B"/>
    <w:rsid w:val="00D72927"/>
    <w:rsid w:val="00D74105"/>
    <w:rsid w:val="00D74F02"/>
    <w:rsid w:val="00D7528D"/>
    <w:rsid w:val="00D81B45"/>
    <w:rsid w:val="00D82D2C"/>
    <w:rsid w:val="00D8480B"/>
    <w:rsid w:val="00D85240"/>
    <w:rsid w:val="00DA3555"/>
    <w:rsid w:val="00DA663D"/>
    <w:rsid w:val="00DA7E25"/>
    <w:rsid w:val="00DB1652"/>
    <w:rsid w:val="00DB1E7D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0674"/>
    <w:rsid w:val="00DF1480"/>
    <w:rsid w:val="00DF37E1"/>
    <w:rsid w:val="00DF6AAE"/>
    <w:rsid w:val="00E009F5"/>
    <w:rsid w:val="00E04FCD"/>
    <w:rsid w:val="00E05EF9"/>
    <w:rsid w:val="00E065B1"/>
    <w:rsid w:val="00E06BFE"/>
    <w:rsid w:val="00E14B61"/>
    <w:rsid w:val="00E17091"/>
    <w:rsid w:val="00E1743E"/>
    <w:rsid w:val="00E2229E"/>
    <w:rsid w:val="00E22866"/>
    <w:rsid w:val="00E404BA"/>
    <w:rsid w:val="00E46040"/>
    <w:rsid w:val="00E5580B"/>
    <w:rsid w:val="00E60A7C"/>
    <w:rsid w:val="00E615C5"/>
    <w:rsid w:val="00E7019D"/>
    <w:rsid w:val="00E75F04"/>
    <w:rsid w:val="00E76E94"/>
    <w:rsid w:val="00E77139"/>
    <w:rsid w:val="00E83613"/>
    <w:rsid w:val="00E854C3"/>
    <w:rsid w:val="00E9174F"/>
    <w:rsid w:val="00E91989"/>
    <w:rsid w:val="00E94846"/>
    <w:rsid w:val="00EA4481"/>
    <w:rsid w:val="00EC6E85"/>
    <w:rsid w:val="00ED3194"/>
    <w:rsid w:val="00ED338F"/>
    <w:rsid w:val="00ED3D22"/>
    <w:rsid w:val="00ED4AD8"/>
    <w:rsid w:val="00EE0487"/>
    <w:rsid w:val="00EE0B83"/>
    <w:rsid w:val="00EE1688"/>
    <w:rsid w:val="00F00344"/>
    <w:rsid w:val="00F03CC1"/>
    <w:rsid w:val="00F0798D"/>
    <w:rsid w:val="00F177C4"/>
    <w:rsid w:val="00F2416A"/>
    <w:rsid w:val="00F2467B"/>
    <w:rsid w:val="00F30CDA"/>
    <w:rsid w:val="00F30D91"/>
    <w:rsid w:val="00F32A4B"/>
    <w:rsid w:val="00F35CA2"/>
    <w:rsid w:val="00F366FF"/>
    <w:rsid w:val="00F4456D"/>
    <w:rsid w:val="00F549CC"/>
    <w:rsid w:val="00F775C4"/>
    <w:rsid w:val="00F77E2A"/>
    <w:rsid w:val="00F80293"/>
    <w:rsid w:val="00F824E6"/>
    <w:rsid w:val="00F830C9"/>
    <w:rsid w:val="00F85E10"/>
    <w:rsid w:val="00F87BE2"/>
    <w:rsid w:val="00F912FF"/>
    <w:rsid w:val="00FA07F5"/>
    <w:rsid w:val="00FA7A1F"/>
    <w:rsid w:val="00FB55DE"/>
    <w:rsid w:val="00FB76B9"/>
    <w:rsid w:val="00FC69A9"/>
    <w:rsid w:val="00FC7EF0"/>
    <w:rsid w:val="00FD1A9B"/>
    <w:rsid w:val="00FD2D21"/>
    <w:rsid w:val="00FD47C5"/>
    <w:rsid w:val="00FE6EAF"/>
    <w:rsid w:val="00FF1F41"/>
    <w:rsid w:val="00FF226F"/>
    <w:rsid w:val="00FF3F16"/>
    <w:rsid w:val="00FF4EB7"/>
    <w:rsid w:val="00FF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655F3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ConsPlusNormal">
    <w:name w:val="ConsPlusNormal"/>
    <w:rsid w:val="000A6C6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50">
    <w:name w:val="Заголовок 5 Знак"/>
    <w:basedOn w:val="a0"/>
    <w:link w:val="5"/>
    <w:uiPriority w:val="9"/>
    <w:rsid w:val="00655F3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PlusNonformat">
    <w:name w:val="ConsPlusNonformat"/>
    <w:rsid w:val="00655F3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655F3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854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641F-A7A1-444E-B805-CF70F878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9018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creator>WATASHI</dc:creator>
  <cp:lastModifiedBy>Гербекова_С</cp:lastModifiedBy>
  <cp:revision>18</cp:revision>
  <cp:lastPrinted>2020-03-30T12:58:00Z</cp:lastPrinted>
  <dcterms:created xsi:type="dcterms:W3CDTF">2020-03-23T07:25:00Z</dcterms:created>
  <dcterms:modified xsi:type="dcterms:W3CDTF">2020-04-10T13:43:00Z</dcterms:modified>
</cp:coreProperties>
</file>